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RÉPUBLIQUE DE GUINÉE</w:t>
      </w:r>
    </w:p>
    <w:p>
      <w:pPr>
        <w:spacing w:after="300"/>
        <w:jc w:val="center"/>
      </w:pPr>
      <w:r>
        <w:rPr>
          <w:i/>
          <w:iCs/>
          <w:sz w:val="20"/>
          <w:szCs w:val="20"/>
        </w:rPr>
        <w:t xml:space="preserve">Travail — Justice — Solidarité</w:t>
      </w:r>
    </w:p>
    <w:p>
      <w:pPr>
        <w:spacing w:after="40"/>
        <w:jc w:val="center"/>
      </w:pPr>
      <w:r>
        <w:rPr>
          <w:b/>
          <w:bCs/>
          <w:sz w:val="30"/>
          <w:szCs w:val="30"/>
        </w:rPr>
        <w:t xml:space="preserve">PROJET NATIONAL D'ADRESSAGE</w:t>
      </w:r>
    </w:p>
    <w:p>
      <w:pPr>
        <w:spacing w:after="260"/>
        <w:jc w:val="center"/>
      </w:pPr>
      <w:r>
        <w:rPr>
          <w:b/>
          <w:bCs/>
          <w:sz w:val="30"/>
          <w:szCs w:val="30"/>
        </w:rPr>
        <w:t xml:space="preserve">DE LA VILLE DE CONAKRY</w:t>
      </w:r>
    </w:p>
    <w:p>
      <w:pPr>
        <w:spacing w:after="300"/>
        <w:jc w:val="center"/>
      </w:pPr>
      <w:r>
        <w:rPr>
          <w:i/>
          <w:iCs/>
          <w:sz w:val="20"/>
          <w:szCs w:val="20"/>
        </w:rPr>
        <w:t xml:space="preserve">Numérotation des bâtiments, dénomination des voies et système d'information géographique urbain</w:t>
      </w:r>
    </w:p>
    <w:p>
      <w:pPr>
        <w:spacing w:after="500"/>
        <w:jc w:val="center"/>
      </w:pPr>
      <w:r>
        <w:rPr>
          <w:b/>
          <w:bCs/>
          <w:sz w:val="24"/>
          <w:szCs w:val="24"/>
        </w:rPr>
        <w:t xml:space="preserve">Note de Proposition de Projet — Phase d'Extension : Commune de Matam</w:t>
      </w:r>
    </w:p>
    <w:p>
      <w:pPr>
        <w:spacing w:after="60"/>
        <w:jc w:val="center"/>
      </w:pPr>
      <w:r>
        <w:rPr>
          <w:i/>
          <w:iCs/>
          <w:sz w:val="20"/>
          <w:szCs w:val="20"/>
        </w:rPr>
        <w:t xml:space="preserve">Conçu par</w:t>
      </w:r>
    </w:p>
    <w:p>
      <w:pPr>
        <w:spacing w:after="40"/>
        <w:jc w:val="center"/>
      </w:pPr>
      <w:r>
        <w:rPr>
          <w:b/>
          <w:bCs/>
          <w:sz w:val="22"/>
          <w:szCs w:val="22"/>
        </w:rPr>
        <w:t xml:space="preserve">Alpha Mamoudou Bah</w:t>
      </w:r>
    </w:p>
    <w:p>
      <w:pPr>
        <w:spacing w:after="500"/>
        <w:jc w:val="center"/>
      </w:pPr>
      <w:r>
        <w:rPr>
          <w:sz w:val="20"/>
          <w:szCs w:val="20"/>
        </w:rPr>
        <w:t xml:space="preserve">Ingénieur en Génie Civil — Gestionnaire de Projet</w:t>
      </w:r>
    </w:p>
    <w:p>
      <w:pPr>
        <w:spacing w:after="40"/>
        <w:jc w:val="center"/>
      </w:pPr>
      <w:r>
        <w:rPr>
          <w:b/>
          <w:bCs/>
          <w:color w:val="0F2D52"/>
          <w:sz w:val="24"/>
          <w:szCs w:val="24"/>
        </w:rPr>
        <w:t xml:space="preserve">MÉRIDIEN AMÉNAGEMENT &amp; INGÉNIERIE</w:t>
      </w:r>
    </w:p>
    <w:p>
      <w:pPr>
        <w:spacing w:after="500"/>
        <w:jc w:val="center"/>
      </w:pPr>
      <w:r>
        <w:rPr>
          <w:i/>
          <w:iCs/>
          <w:color w:val="C9A227"/>
          <w:sz w:val="20"/>
          <w:szCs w:val="20"/>
        </w:rPr>
        <w:t xml:space="preserve">Bâtir les repères de demain</w:t>
      </w:r>
    </w:p>
    <w:p>
      <w:pPr>
        <w:spacing w:after="40"/>
        <w:jc w:val="center"/>
      </w:pPr>
      <w:r>
        <w:rPr>
          <w:sz w:val="18"/>
          <w:szCs w:val="18"/>
        </w:rPr>
        <w:t xml:space="preserve">Présenté à l'attention du Gouvernement de la République de Guinée</w:t>
      </w:r>
    </w:p>
    <w:p>
      <w:pPr>
        <w:spacing w:after="40"/>
        <w:jc w:val="center"/>
      </w:pPr>
      <w:r>
        <w:rPr>
          <w:sz w:val="18"/>
          <w:szCs w:val="18"/>
        </w:rPr>
        <w:t xml:space="preserve">Ministère en charge de l'Urbanisme et de l'Habitat — Gouvernorat de la Ville de Conakry</w:t>
      </w:r>
    </w:p>
    <w:p>
      <w:pPr>
        <w:jc w:val="center"/>
      </w:pPr>
      <w:r>
        <w:rPr>
          <w:sz w:val="18"/>
          <w:szCs w:val="18"/>
        </w:rPr>
        <w:t xml:space="preserve">Juillet 2026</w:t>
      </w:r>
    </w:p>
    <w:p>
      <w:pPr>
        <w:pageBreakBefore/>
      </w:pPr>
    </w:p>
    <w:p>
      <w:pPr>
        <w:pStyle w:val="Heading1"/>
        <w:spacing w:after="160" w:before="320"/>
      </w:pPr>
      <w:r>
        <w:rPr>
          <w:b/>
          <w:bCs/>
        </w:rPr>
        <w:t xml:space="preserve">Sommaire</w:t>
      </w:r>
    </w:p>
    <w:p>
      <w:pPr>
        <w:spacing w:after="200"/>
      </w:pPr>
      <w:r>
        <w:t xml:space="preserve">1. Contexte et enjeux</w:t>
      </w:r>
    </w:p>
    <w:p>
      <w:pPr>
        <w:spacing w:after="200"/>
      </w:pPr>
      <w:r>
        <w:t xml:space="preserve">2. Objectifs du projet</w:t>
      </w:r>
    </w:p>
    <w:p>
      <w:pPr>
        <w:spacing w:after="200"/>
      </w:pPr>
      <w:r>
        <w:t xml:space="preserve">3. Cadre institutionnel proposé</w:t>
      </w:r>
    </w:p>
    <w:p>
      <w:pPr>
        <w:spacing w:after="200"/>
      </w:pPr>
      <w:r>
        <w:t xml:space="preserve">4. Méthodologie et système d'adressage</w:t>
      </w:r>
    </w:p>
    <w:p>
      <w:pPr>
        <w:spacing w:after="200"/>
      </w:pPr>
      <w:r>
        <w:t xml:space="preserve">5. Périmètre et phasage : l'extension à la commune de Matam</w:t>
      </w:r>
    </w:p>
    <w:p>
      <w:pPr>
        <w:spacing w:after="200"/>
      </w:pPr>
      <w:r>
        <w:t xml:space="preserve">6. Calendrier prévisionnel</w:t>
      </w:r>
    </w:p>
    <w:p>
      <w:pPr>
        <w:spacing w:after="200"/>
      </w:pPr>
      <w:r>
        <w:t xml:space="preserve">7. Budget estimatif</w:t>
      </w:r>
    </w:p>
    <w:p>
      <w:pPr>
        <w:spacing w:after="200"/>
      </w:pPr>
      <w:r>
        <w:t xml:space="preserve">8. Gestion des risques, des erreurs et provision pour imprévus</w:t>
      </w:r>
    </w:p>
    <w:p>
      <w:pPr>
        <w:spacing w:after="200"/>
      </w:pPr>
      <w:r>
        <w:t xml:space="preserve">9. Ressources humaines nécessaires</w:t>
      </w:r>
    </w:p>
    <w:p>
      <w:pPr>
        <w:spacing w:after="200"/>
      </w:pPr>
      <w:r>
        <w:t xml:space="preserve">10. Équipements et prestataires de services</w:t>
      </w:r>
    </w:p>
    <w:p>
      <w:pPr>
        <w:spacing w:after="200"/>
      </w:pPr>
      <w:r>
        <w:t xml:space="preserve">11. Bénéfices attendus pour l'État et les populations</w:t>
      </w:r>
    </w:p>
    <w:p>
      <w:pPr>
        <w:spacing w:after="200"/>
      </w:pPr>
      <w:r>
        <w:t xml:space="preserve">12. Gouvernance et partenaires potentiels</w:t>
      </w:r>
    </w:p>
    <w:p>
      <w:pPr>
        <w:spacing w:after="200"/>
      </w:pPr>
      <w:r>
        <w:t xml:space="preserve">13. Recommandation et prochaines étapes</w:t>
      </w:r>
    </w:p>
    <w:p>
      <w:pPr>
        <w:spacing w:after="200"/>
      </w:pPr>
      <w:r>
        <w:t xml:space="preserve">Annexe — Intégration des données à Google Maps</w:t>
      </w:r>
    </w:p>
    <w:p>
      <w:pPr>
        <w:pageBreakBefore/>
      </w:pPr>
    </w:p>
    <w:p>
      <w:pPr>
        <w:pStyle w:val="Heading1"/>
        <w:spacing w:after="160" w:before="320"/>
      </w:pPr>
      <w:r>
        <w:rPr>
          <w:b/>
          <w:bCs/>
        </w:rPr>
        <w:t xml:space="preserve">1. Contexte et enjeux</w:t>
      </w:r>
    </w:p>
    <w:p>
      <w:pPr>
        <w:spacing w:after="200"/>
      </w:pPr>
      <w:r>
        <w:t xml:space="preserve">Conakry ne dispose aujourd'hui d'aucun système d'adressage officiel généralisé. La très grande majorité des bâtiments, commerces et habitations ne possède ni numéro de rue reconnu, ni référence postale fiable. Les voies elles-mêmes portent souvent des noms d'usage plutôt que des dénominations officielles validées.</w:t>
      </w:r>
    </w:p>
    <w:p>
      <w:pPr>
        <w:spacing w:after="200"/>
      </w:pPr>
      <w:r>
        <w:t xml:space="preserve">Cette absence d'adressage structuré freine plusieurs secteurs stratégiques : l'intervention des services d'urgence (sapeurs-pompiers, ambulances, police), la fiscalité foncière et la mobilisation des ressources propres des communes, le développement du commerce électronique et de la livraison à domicile, la bancarisation et l'accès au crédit, ainsi que la planification urbaine elle-même.</w:t>
      </w:r>
    </w:p>
    <w:p>
      <w:pPr>
        <w:spacing w:after="200"/>
      </w:pPr>
      <w:r>
        <w:t xml:space="preserve">Le présent document propose de poursuivre le projet national d'adressage engagé à Conakry. La phase pilote a été réalisée sur la commune de Kaloum, la première phase d'extension sur la commune de Dixinn ; le présent document propose d'engager une deuxième phase d'extension sur la commune de Matam, forte des enseignements tirés du pilote et de l'extension à Dixinn.</w:t>
      </w:r>
    </w:p>
    <w:p>
      <w:pPr>
        <w:spacing w:after="200"/>
      </w:pPr>
      <w:r>
        <w:t xml:space="preserve">Matam est la commune la plus peuplée des cinq communes historiques de Conakry avec 177 271 habitants recensés (RGPH-4, résultats publiés en février 2026) — soit près de deux fois la population de Dixinn au recensement précédent — répartis sur 24 quartiers et 103 secteurs, pour une superficie de 35 km². Son intégration au projet représente une étape majeure vers la couverture complète de la capitale.</w:t>
      </w:r>
    </w:p>
    <w:p>
      <w:pPr>
        <w:pStyle w:val="Heading1"/>
        <w:spacing w:after="160" w:before="320"/>
      </w:pPr>
      <w:r>
        <w:rPr>
          <w:b/>
          <w:bCs/>
        </w:rPr>
        <w:t xml:space="preserve">2. Objectifs du projet</w:t>
      </w:r>
    </w:p>
    <w:p>
      <w:pPr>
        <w:pStyle w:val="ListParagraph"/>
        <w:numPr>
          <w:ilvl w:val="0"/>
          <w:numId w:val="2"/>
        </w:numPr>
        <w:spacing w:after="120"/>
      </w:pPr>
      <w:r>
        <w:t xml:space="preserve">Attribuer une adresse officielle, unique et pérenne à chaque bâtiment de Conakry (numéro, nom de voie, code de secteur).</w:t>
      </w:r>
    </w:p>
    <w:p>
      <w:pPr>
        <w:pStyle w:val="ListParagraph"/>
        <w:numPr>
          <w:ilvl w:val="0"/>
          <w:numId w:val="2"/>
        </w:numPr>
        <w:spacing w:after="120"/>
      </w:pPr>
      <w:r>
        <w:t xml:space="preserve">Dénommer officiellement l'ensemble des voies de la ville et faire valider ce répertoire toponymique par les autorités communales.</w:t>
      </w:r>
    </w:p>
    <w:p>
      <w:pPr>
        <w:pStyle w:val="ListParagraph"/>
        <w:numPr>
          <w:ilvl w:val="0"/>
          <w:numId w:val="2"/>
        </w:numPr>
        <w:spacing w:after="120"/>
      </w:pPr>
      <w:r>
        <w:t xml:space="preserve">Constituer une base de données géoréférencée (SIG) exploitable par les services de l'État, les communes, les opérateurs privés et les services d'urgence.</w:t>
      </w:r>
    </w:p>
    <w:p>
      <w:pPr>
        <w:pStyle w:val="ListParagraph"/>
        <w:numPr>
          <w:ilvl w:val="0"/>
          <w:numId w:val="2"/>
        </w:numPr>
        <w:spacing w:after="120"/>
      </w:pPr>
      <w:r>
        <w:t xml:space="preserve">Améliorer la mobilisation des ressources fiscales locales grâce à un inventaire fiable du bâti.</w:t>
      </w:r>
    </w:p>
    <w:p>
      <w:pPr>
        <w:pStyle w:val="ListParagraph"/>
        <w:numPr>
          <w:ilvl w:val="0"/>
          <w:numId w:val="2"/>
        </w:numPr>
        <w:spacing w:after="120"/>
      </w:pPr>
      <w:r>
        <w:t xml:space="preserve">Faciliter l'intervention des services de secours et la localisation en cas d'urgence.</w:t>
      </w:r>
    </w:p>
    <w:p>
      <w:pPr>
        <w:pStyle w:val="ListParagraph"/>
        <w:numPr>
          <w:ilvl w:val="0"/>
          <w:numId w:val="2"/>
        </w:numPr>
        <w:spacing w:after="120"/>
      </w:pPr>
      <w:r>
        <w:t xml:space="preserve">Créer les conditions d'un développement du commerce électronique, de la livraison et des services financiers géolocalisés.</w:t>
      </w:r>
    </w:p>
    <w:p>
      <w:pPr>
        <w:pStyle w:val="ListParagraph"/>
        <w:numPr>
          <w:ilvl w:val="0"/>
          <w:numId w:val="2"/>
        </w:numPr>
        <w:spacing w:after="120"/>
      </w:pPr>
      <w:r>
        <w:t xml:space="preserve">Confirmer, sur la commune la plus peuplée de Conakry, la robustesse de la méthode validée lors du pilote de Kaloum et de l'extension à Dixinn, avant généralisation aux communes de Ratoma et Matoto.</w:t>
      </w:r>
    </w:p>
    <w:p>
      <w:pPr>
        <w:pStyle w:val="Heading1"/>
        <w:spacing w:after="160" w:before="320"/>
      </w:pPr>
      <w:r>
        <w:rPr>
          <w:b/>
          <w:bCs/>
        </w:rPr>
        <w:t xml:space="preserve">3. Cadre institutionnel proposé</w:t>
      </w:r>
    </w:p>
    <w:p>
      <w:pPr>
        <w:spacing w:after="200"/>
      </w:pPr>
      <w:r>
        <w:t xml:space="preserve">Le projet gagnerait à être porté conjointement par :</w:t>
      </w:r>
    </w:p>
    <w:p>
      <w:pPr>
        <w:pStyle w:val="ListParagraph"/>
        <w:numPr>
          <w:ilvl w:val="0"/>
          <w:numId w:val="2"/>
        </w:numPr>
        <w:spacing w:after="120"/>
      </w:pPr>
      <w:r>
        <w:t xml:space="preserve">Le Ministère en charge de l'Urbanisme, de l'Habitat et de l'Aménagement du Territoire, en tant que maître d'ouvrage national ;</w:t>
      </w:r>
    </w:p>
    <w:p>
      <w:pPr>
        <w:pStyle w:val="ListParagraph"/>
        <w:numPr>
          <w:ilvl w:val="0"/>
          <w:numId w:val="2"/>
        </w:numPr>
        <w:spacing w:after="120"/>
      </w:pPr>
      <w:r>
        <w:t xml:space="preserve">Le Gouvernorat de la Ville de Conakry et la mairie de Matam, en tant que maîtres d'ouvrage délégués au niveau local ;</w:t>
      </w:r>
    </w:p>
    <w:p>
      <w:pPr>
        <w:pStyle w:val="ListParagraph"/>
        <w:numPr>
          <w:ilvl w:val="0"/>
          <w:numId w:val="2"/>
        </w:numPr>
        <w:spacing w:after="120"/>
      </w:pPr>
      <w:r>
        <w:t xml:space="preserve">L'Agence Nationale de l'Aménagement des Territoires (ANAT) ou toute structure technique équivalente, pour la coordination cartographique et le SIG ;</w:t>
      </w:r>
    </w:p>
    <w:p>
      <w:pPr>
        <w:pStyle w:val="ListParagraph"/>
        <w:numPr>
          <w:ilvl w:val="0"/>
          <w:numId w:val="2"/>
        </w:numPr>
        <w:spacing w:after="120"/>
      </w:pPr>
      <w:r>
        <w:t xml:space="preserve">La Direction Générale des Impôts, pour l'articulation avec le fichier foncier et fiscal ;</w:t>
      </w:r>
    </w:p>
    <w:p>
      <w:pPr>
        <w:pStyle w:val="ListParagraph"/>
        <w:numPr>
          <w:ilvl w:val="0"/>
          <w:numId w:val="2"/>
        </w:numPr>
        <w:spacing w:after="120"/>
      </w:pPr>
      <w:r>
        <w:t xml:space="preserve">Les services de la Protection Civile, comme bénéficiaires directs du système d'adressage pour les interventions d'urgence.</w:t>
      </w:r>
    </w:p>
    <w:p>
      <w:pPr>
        <w:spacing w:after="200"/>
      </w:pPr>
      <w:r>
        <w:t xml:space="preserve">Le comité de pilotage interministériel déjà mobilisé pour le pilote de Kaloum et l'extension à Dixinn assurerait la continuité de la coordination pour la phase Matam.</w:t>
      </w:r>
    </w:p>
    <w:p>
      <w:pPr>
        <w:pStyle w:val="Heading1"/>
        <w:spacing w:after="160" w:before="320"/>
      </w:pPr>
      <w:r>
        <w:rPr>
          <w:b/>
          <w:bCs/>
        </w:rPr>
        <w:t xml:space="preserve">4. Méthodologie et système d'adressage</w:t>
      </w:r>
    </w:p>
    <w:p>
      <w:pPr>
        <w:pStyle w:val="Heading2"/>
        <w:spacing w:after="160" w:before="320"/>
      </w:pPr>
      <w:r>
        <w:rPr>
          <w:b/>
          <w:bCs/>
        </w:rPr>
        <w:t xml:space="preserve">4.1. Système de numérotation retenu : le système métrique</w:t>
      </w:r>
    </w:p>
    <w:p>
      <w:pPr>
        <w:spacing w:after="200"/>
      </w:pPr>
      <w:r>
        <w:t xml:space="preserve">Il est recommandé d'adopter le système métrique de numérotation, plutôt qu'une simple numérotation séquentielle, sur le même principe déjà retenu pour Kaloum et Dixinn. Chaque bâtiment reçoit un numéro correspondant à sa distance en mètres depuis l'origine de la voie, les numéros pairs étant attribués à un côté de la rue et les numéros impairs à l'autre.</w:t>
      </w:r>
    </w:p>
    <w:p>
      <w:pPr>
        <w:spacing w:after="200"/>
      </w:pPr>
      <w:r>
        <w:t xml:space="preserve">Cette approche présente deux avantages majeurs : elle donne une indication directe de la position d'un bâtiment sur sa voie (utile pour les secours et la livraison), et elle absorbe naturellement les constructions futures sans nécessiter de renumérotation de l'ensemble d'une rue.</w:t>
      </w:r>
    </w:p>
    <w:p>
      <w:pPr>
        <w:pStyle w:val="Heading2"/>
        <w:spacing w:after="160" w:before="320"/>
      </w:pPr>
      <w:r>
        <w:rPr>
          <w:b/>
          <w:bCs/>
        </w:rPr>
        <w:t xml:space="preserve">4.2. Étapes de mise en œuvre</w:t>
      </w:r>
    </w:p>
    <w:p>
      <w:pPr>
        <w:pStyle w:val="ListParagraph"/>
        <w:numPr>
          <w:ilvl w:val="0"/>
          <w:numId w:val="2"/>
        </w:numPr>
        <w:spacing w:after="120"/>
      </w:pPr>
      <w:r>
        <w:t xml:space="preserve">Recensement et cartographie des voies existantes (imagerie satellite ou drone, complétée par des relevés GPS de terrain).</w:t>
      </w:r>
    </w:p>
    <w:p>
      <w:pPr>
        <w:pStyle w:val="ListParagraph"/>
        <w:numPr>
          <w:ilvl w:val="0"/>
          <w:numId w:val="2"/>
        </w:numPr>
        <w:spacing w:after="120"/>
      </w:pPr>
      <w:r>
        <w:t xml:space="preserve">Constitution d'un répertoire toponymique officiel pour chaque voie, validé par la mairie de Matam et les chefs des 24 quartiers.</w:t>
      </w:r>
    </w:p>
    <w:p>
      <w:pPr>
        <w:pStyle w:val="ListParagraph"/>
        <w:numPr>
          <w:ilvl w:val="0"/>
          <w:numId w:val="2"/>
        </w:numPr>
        <w:spacing w:after="120"/>
      </w:pPr>
      <w:r>
        <w:t xml:space="preserve">Numérotation systématique des bâtiments selon le système métrique retenu.</w:t>
      </w:r>
    </w:p>
    <w:p>
      <w:pPr>
        <w:pStyle w:val="ListParagraph"/>
        <w:numPr>
          <w:ilvl w:val="0"/>
          <w:numId w:val="2"/>
        </w:numPr>
        <w:spacing w:after="120"/>
      </w:pPr>
      <w:r>
        <w:t xml:space="preserve">Traitement spécifique des maisons en second rang, desservies par des venelles piétonnes non accessibles en voiture — fréquentes dans les zones non loties de Matam (Coléah, Boussoura...) — et des immeubles à plusieurs niveaux et boutiques (voir 4.4 et 4.5).</w:t>
      </w:r>
    </w:p>
    <w:p>
      <w:pPr>
        <w:pStyle w:val="ListParagraph"/>
        <w:numPr>
          <w:ilvl w:val="0"/>
          <w:numId w:val="2"/>
        </w:numPr>
        <w:spacing w:after="120"/>
      </w:pPr>
      <w:r>
        <w:t xml:space="preserve">Constitution d'une base de données SIG centralisée, interopérable avec les systèmes existants (cadastre, fiscalité, état civil).</w:t>
      </w:r>
    </w:p>
    <w:p>
      <w:pPr>
        <w:pStyle w:val="ListParagraph"/>
        <w:numPr>
          <w:ilvl w:val="0"/>
          <w:numId w:val="2"/>
        </w:numPr>
        <w:spacing w:after="120"/>
      </w:pPr>
      <w:r>
        <w:t xml:space="preserve">Fabrication et pose de la signalétique : plaques de rues et plaques de numéros de bâtiments.</w:t>
      </w:r>
    </w:p>
    <w:p>
      <w:pPr>
        <w:pStyle w:val="ListParagraph"/>
        <w:numPr>
          <w:ilvl w:val="0"/>
          <w:numId w:val="2"/>
        </w:numPr>
        <w:spacing w:after="120"/>
      </w:pPr>
      <w:r>
        <w:t xml:space="preserve">Formation des agents communaux et transfert de compétences pour la maintenance et la mise à jour continue du système.</w:t>
      </w:r>
    </w:p>
    <w:p>
      <w:pPr>
        <w:pStyle w:val="Heading2"/>
        <w:spacing w:after="160" w:before="320"/>
      </w:pPr>
      <w:r>
        <w:rPr>
          <w:b/>
          <w:bCs/>
        </w:rPr>
        <w:t xml:space="preserve">4.3. Outils numériques et collecte de terrain</w:t>
      </w:r>
    </w:p>
    <w:p>
      <w:pPr>
        <w:spacing w:after="200"/>
      </w:pPr>
      <w:r>
        <w:t xml:space="preserve">La base de données SIG constituée pourra être consultée par une application ou un portail web dédié, déjà développé lors du pilote de Kaloum et réutilisé pour les phases d'extension. Ce portail présente une carte interactive de démonstration ainsi que les documents de proposition de chaque commune.</w:t>
      </w:r>
    </w:p>
    <w:p>
      <w:pPr>
        <w:spacing w:after="200"/>
      </w:pPr>
      <w:r>
        <w:t xml:space="preserve">La collecte de terrain (coordonnées GPS, photos de façade, vidéos d'accès) est réalisée au moyen d'un formulaire numérique dédié (plateforme KoboToolbox), permettant une saisie hors-ligne sur smartphone et une synchronisation automatique dès le retour de connexion — méthode déjà éprouvée sur le pilote de Kaloum et directement réutilisable pour Matam, moyennant l'ajout de la commune dans la liste des choix du formulaire.</w:t>
      </w:r>
    </w:p>
    <w:p>
      <w:pPr>
        <w:spacing w:after="200"/>
      </w:pPr>
      <w:r>
        <w:t xml:space="preserve">Une fois cette base publiée en open data, la même stratégie d'intégration aux services cartographiques grand public (OpenStreetMap, Google Maps, Google Business Profile) que celle retenue pour Kaloum et Dixinn serait engagée pour Matam — voir l'annexe en fin de document.</w:t>
      </w:r>
    </w:p>
    <w:p>
      <w:pPr>
        <w:pStyle w:val="Heading2"/>
        <w:spacing w:after="160" w:before="320"/>
      </w:pPr>
      <w:r>
        <w:rPr>
          <w:b/>
          <w:bCs/>
        </w:rPr>
        <w:t xml:space="preserve">4.4. Cas particuliers : venelles piétonnes et concessions communes</w:t>
      </w:r>
    </w:p>
    <w:p>
      <w:pPr>
        <w:spacing w:after="200"/>
      </w:pPr>
      <w:r>
        <w:t xml:space="preserve">Une part significative du tissu urbain de Matam se trouve en zone non lotie, où plusieurs parcelles sont desservies uniquement par un sentier piéton en second rang plutôt que par la voie principale. Ces situations sont traitées comme suit :</w:t>
      </w:r>
    </w:p>
    <w:p>
      <w:pPr>
        <w:pStyle w:val="ListParagraph"/>
        <w:numPr>
          <w:ilvl w:val="0"/>
          <w:numId w:val="2"/>
        </w:numPr>
        <w:spacing w:after="120"/>
      </w:pPr>
      <w:r>
        <w:t xml:space="preserve">Le sentier est traité comme une venelle à part entière, nommée d'après son point de jonction sur la rue principale (ex : Venelle 47).</w:t>
      </w:r>
    </w:p>
    <w:p>
      <w:pPr>
        <w:pStyle w:val="ListParagraph"/>
        <w:numPr>
          <w:ilvl w:val="0"/>
          <w:numId w:val="2"/>
        </w:numPr>
        <w:spacing w:after="120"/>
      </w:pPr>
      <w:r>
        <w:t xml:space="preserve">Les maisons au fond du sentier sont numérotées le long de la venelle, depuis son entrée.</w:t>
      </w:r>
    </w:p>
    <w:p>
      <w:pPr>
        <w:pStyle w:val="ListParagraph"/>
        <w:numPr>
          <w:ilvl w:val="0"/>
          <w:numId w:val="2"/>
        </w:numPr>
        <w:spacing w:after="120"/>
      </w:pPr>
      <w:r>
        <w:t xml:space="preserve">Si plusieurs logements partagent une seule entrée (concession commune), un numéro principal est complété par un suffixe : 62/A, 62/B...</w:t>
      </w:r>
    </w:p>
    <w:p>
      <w:pPr>
        <w:pStyle w:val="ListParagraph"/>
        <w:numPr>
          <w:ilvl w:val="0"/>
          <w:numId w:val="2"/>
        </w:numPr>
        <w:spacing w:after="120"/>
      </w:pPr>
      <w:r>
        <w:t xml:space="preserve">Un attribut accès véhicule (oui/non) est enregistré pour chaque bâtiment — utile pour les secours et pour prioriser les futurs travaux de désenclavement.</w:t>
      </w:r>
    </w:p>
    <w:p>
      <w:pPr>
        <w:spacing w:after="200"/>
      </w:pPr>
      <w:r>
        <w:t xml:space="preserve">Sur la base d'hypothèses à confirmer par la cartographie de terrain, environ 137 venelles piétonnes sont estimées pour Matam (voir modèle de calcul associé).</w:t>
      </w:r>
    </w:p>
    <w:p>
      <w:pPr>
        <w:pStyle w:val="Heading2"/>
        <w:spacing w:after="160" w:before="320"/>
      </w:pPr>
      <w:r>
        <w:rPr>
          <w:b/>
          <w:bCs/>
        </w:rPr>
        <w:t xml:space="preserve">4.5. Cas particuliers : immeubles à plusieurs niveaux et boutiques</w:t>
      </w:r>
    </w:p>
    <w:p>
      <w:pPr>
        <w:spacing w:after="200"/>
      </w:pPr>
      <w:r>
        <w:t xml:space="preserve">Les centres commerciaux et immeubles à plusieurs niveaux (marchés de Bonfi et de Coléah notamment) abritent souvent plusieurs boutiques ou bureaux sur un même bâtiment. Le principe retenu sépare l'adresse du bâtiment de l'identifiant du local :</w:t>
      </w:r>
    </w:p>
    <w:p>
      <w:pPr>
        <w:pStyle w:val="ListParagraph"/>
        <w:numPr>
          <w:ilvl w:val="0"/>
          <w:numId w:val="2"/>
        </w:numPr>
        <w:spacing w:after="120"/>
      </w:pPr>
      <w:r>
        <w:t xml:space="preserve">Le bâtiment reçoit une seule adresse, comme toute maison (ex : N° 130, Avenue X).</w:t>
      </w:r>
    </w:p>
    <w:p>
      <w:pPr>
        <w:pStyle w:val="ListParagraph"/>
        <w:numPr>
          <w:ilvl w:val="0"/>
          <w:numId w:val="2"/>
        </w:numPr>
        <w:spacing w:after="120"/>
      </w:pPr>
      <w:r>
        <w:t xml:space="preserve">Chaque boutique reçoit un identifiant niveau + local, rattaché à cette adresse (ex : 130/RDC-02, 130/N1-05).</w:t>
      </w:r>
    </w:p>
    <w:p>
      <w:pPr>
        <w:pStyle w:val="ListParagraph"/>
        <w:numPr>
          <w:ilvl w:val="0"/>
          <w:numId w:val="2"/>
        </w:numPr>
        <w:spacing w:after="120"/>
      </w:pPr>
      <w:r>
        <w:t xml:space="preserve">Numérotation séquentielle par niveau, dans le sens des aiguilles d'une montre depuis l'entrée principale.</w:t>
      </w:r>
    </w:p>
    <w:p>
      <w:pPr>
        <w:pStyle w:val="ListParagraph"/>
        <w:numPr>
          <w:ilvl w:val="0"/>
          <w:numId w:val="2"/>
        </w:numPr>
        <w:spacing w:after="120"/>
      </w:pPr>
      <w:r>
        <w:t xml:space="preserve">La plaque murale extérieure relève du projet d'adressage ; la signalétique intérieure (répertoire des boutiques) reste à la charge du gestionnaire du bâtiment.</w:t>
      </w:r>
    </w:p>
    <w:p>
      <w:pPr>
        <w:spacing w:after="200"/>
      </w:pPr>
      <w:r>
        <w:t xml:space="preserve">Environ 41 bâtiments multi-niveaux sont estimés pour Matam sur cette base (voir modèle de calcul associé).</w:t>
      </w:r>
    </w:p>
    <w:p>
      <w:pPr>
        <w:pStyle w:val="Heading1"/>
        <w:spacing w:after="160" w:before="320"/>
      </w:pPr>
      <w:r>
        <w:rPr>
          <w:b/>
          <w:bCs/>
        </w:rPr>
        <w:t xml:space="preserve">5. Périmètre et phasage : l'extension à la commune de Matam</w:t>
      </w:r>
    </w:p>
    <w:p>
      <w:pPr>
        <w:spacing w:after="200"/>
      </w:pPr>
      <w:r>
        <w:t xml:space="preserve">Conformément à l'approche progressive retenue depuis le pilote, il n'est pas recommandé d'engager la totalité de Conakry simultanément.</w:t>
      </w:r>
    </w:p>
    <w:p>
      <w:pPr>
        <w:spacing w:after="200"/>
      </w:pPr>
      <w:r>
        <w:t xml:space="preserve">La commune de Matam est proposée comme deuxième commune de la phase d'extension pour les raisons suivantes : elle est la plus peuplée des cinq communes historiques de Conakry (177 271 habitants, RGPH-4 2025), ce qui en fait une étape déterminante pour la couverture démographique du projet ; elle est contiguë à Dixinn et Kaloum, facilitant la réutilisation des équipes, des équipements et de la base de données SIG déjà mobilisés ; ses deux marchés communaux (Bonfi et Coléah) et ses zones non loties permettent de tester à grande échelle le traitement des venelles piétonnes et des bâtiments multi-niveaux, déjà expérimenté sur les phases précédentes.</w:t>
      </w:r>
    </w:p>
    <w:p>
      <w:pPr>
        <w:spacing w:after="200"/>
      </w:pPr>
      <w:r>
        <w:t xml:space="preserve">Feuille de route d'extension : Matam en deuxième lieu après Dixinn, compte tenu de sa population et de sa contiguïté géographique, puis Ratoma et Matoto dans un calendrier pluriannuel ultérieur, avant une éventuelle extension aux communes périphériques (Kagbelen, Sanoyah, Manéah).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50"/>
      </w:tblGrid>
      <w:tr>
        <w:tc>
          <w:tcPr>
            <w:tcW w:type="dxa" w:w="2500"/>
            <w:shd w:fill="0F2D52" w:val="clear"/>
          </w:tcPr>
          <w:p>
            <w:r>
              <w:rPr>
                <w:b/>
                <w:bCs/>
                <w:color w:val="FFFFFF"/>
                <w:sz w:val="20"/>
                <w:szCs w:val="20"/>
              </w:rPr>
              <w:t xml:space="preserve">Phase</w:t>
            </w:r>
          </w:p>
        </w:tc>
        <w:tc>
          <w:tcPr>
            <w:tcW w:type="dxa" w:w="4000"/>
            <w:shd w:fill="0F2D52" w:val="clear"/>
          </w:tcPr>
          <w:p>
            <w:r>
              <w:rPr>
                <w:b/>
                <w:bCs/>
                <w:color w:val="FFFFFF"/>
                <w:sz w:val="20"/>
                <w:szCs w:val="20"/>
              </w:rPr>
              <w:t xml:space="preserve">Périmètre</w:t>
            </w:r>
          </w:p>
        </w:tc>
        <w:tc>
          <w:tcPr>
            <w:tcW w:type="dxa" w:w="2850"/>
            <w:shd w:fill="0F2D52" w:val="clear"/>
          </w:tcPr>
          <w:p>
            <w:r>
              <w:rPr>
                <w:b/>
                <w:bCs/>
                <w:color w:val="FFFFFF"/>
                <w:sz w:val="20"/>
                <w:szCs w:val="20"/>
              </w:rPr>
              <w:t xml:space="preserve">Durée indicative</w:t>
            </w:r>
          </w:p>
        </w:tc>
      </w:tr>
      <w:tr>
        <w:tc>
          <w:tcPr>
            <w:tcW w:type="dxa" w:w="2000"/>
          </w:tcPr>
          <w:p>
            <w:r>
              <w:rPr>
                <w:sz w:val="20"/>
                <w:szCs w:val="20"/>
              </w:rPr>
              <w:t xml:space="preserve">Phase 0 — Cadrage</w:t>
            </w:r>
          </w:p>
        </w:tc>
        <w:tc>
          <w:tcPr>
            <w:tcW w:type="dxa" w:w="2000"/>
          </w:tcPr>
          <w:p>
            <w:r>
              <w:rPr>
                <w:sz w:val="20"/>
                <w:szCs w:val="20"/>
              </w:rPr>
              <w:t xml:space="preserve">Cadre légal, comité de pilotage, cahier des charges</w:t>
            </w:r>
          </w:p>
        </w:tc>
        <w:tc>
          <w:tcPr>
            <w:tcW w:type="dxa" w:w="2000"/>
          </w:tcPr>
          <w:p>
            <w:r>
              <w:rPr>
                <w:sz w:val="20"/>
                <w:szCs w:val="20"/>
              </w:rPr>
              <w:t xml:space="preserve">Réalisé</w:t>
            </w:r>
          </w:p>
        </w:tc>
      </w:tr>
      <w:tr>
        <w:tc>
          <w:tcPr>
            <w:tcW w:type="dxa" w:w="2000"/>
          </w:tcPr>
          <w:p>
            <w:r>
              <w:rPr>
                <w:sz w:val="20"/>
                <w:szCs w:val="20"/>
              </w:rPr>
              <w:t xml:space="preserve">Phase 1 — Pilote</w:t>
            </w:r>
          </w:p>
        </w:tc>
        <w:tc>
          <w:tcPr>
            <w:tcW w:type="dxa" w:w="2000"/>
          </w:tcPr>
          <w:p>
            <w:r>
              <w:rPr>
                <w:sz w:val="20"/>
                <w:szCs w:val="20"/>
              </w:rPr>
              <w:t xml:space="preserve">Commune de Kaloum</w:t>
            </w:r>
          </w:p>
        </w:tc>
        <w:tc>
          <w:tcPr>
            <w:tcW w:type="dxa" w:w="2000"/>
          </w:tcPr>
          <w:p>
            <w:r>
              <w:rPr>
                <w:sz w:val="20"/>
                <w:szCs w:val="20"/>
              </w:rPr>
              <w:t xml:space="preserve">9 à 12 mois (réalisé)</w:t>
            </w:r>
          </w:p>
        </w:tc>
      </w:tr>
      <w:tr>
        <w:tc>
          <w:tcPr>
            <w:tcW w:type="dxa" w:w="2000"/>
          </w:tcPr>
          <w:p>
            <w:r>
              <w:rPr>
                <w:sz w:val="20"/>
                <w:szCs w:val="20"/>
              </w:rPr>
              <w:t xml:space="preserve">Phase 2 — 1ère extension</w:t>
            </w:r>
          </w:p>
        </w:tc>
        <w:tc>
          <w:tcPr>
            <w:tcW w:type="dxa" w:w="2000"/>
          </w:tcPr>
          <w:p>
            <w:r>
              <w:rPr>
                <w:sz w:val="20"/>
                <w:szCs w:val="20"/>
              </w:rPr>
              <w:t xml:space="preserve">Commune de Dixinn</w:t>
            </w:r>
          </w:p>
        </w:tc>
        <w:tc>
          <w:tcPr>
            <w:tcW w:type="dxa" w:w="2000"/>
          </w:tcPr>
          <w:p>
            <w:r>
              <w:rPr>
                <w:sz w:val="20"/>
                <w:szCs w:val="20"/>
              </w:rPr>
              <w:t xml:space="preserve">12 à 15 mois</w:t>
            </w:r>
          </w:p>
        </w:tc>
      </w:tr>
      <w:tr>
        <w:tc>
          <w:tcPr>
            <w:tcW w:type="dxa" w:w="2000"/>
          </w:tcPr>
          <w:p>
            <w:r>
              <w:rPr>
                <w:sz w:val="20"/>
                <w:szCs w:val="20"/>
              </w:rPr>
              <w:t xml:space="preserve">Phase 3 — Évaluation</w:t>
            </w:r>
          </w:p>
        </w:tc>
        <w:tc>
          <w:tcPr>
            <w:tcW w:type="dxa" w:w="2000"/>
          </w:tcPr>
          <w:p>
            <w:r>
              <w:rPr>
                <w:sz w:val="20"/>
                <w:szCs w:val="20"/>
              </w:rPr>
              <w:t xml:space="preserve">Bilan des phases précédentes, ajustement méthodologique</w:t>
            </w:r>
          </w:p>
        </w:tc>
        <w:tc>
          <w:tcPr>
            <w:tcW w:type="dxa" w:w="2000"/>
          </w:tcPr>
          <w:p>
            <w:r>
              <w:rPr>
                <w:sz w:val="20"/>
                <w:szCs w:val="20"/>
              </w:rPr>
              <w:t xml:space="preserve">2 mois</w:t>
            </w:r>
          </w:p>
        </w:tc>
      </w:tr>
      <w:tr>
        <w:tc>
          <w:tcPr>
            <w:tcW w:type="dxa" w:w="2000"/>
          </w:tcPr>
          <w:p>
            <w:r>
              <w:rPr>
                <w:sz w:val="20"/>
                <w:szCs w:val="20"/>
              </w:rPr>
              <w:t xml:space="preserve">Phase 4 — 2e extension (proposée)</w:t>
            </w:r>
          </w:p>
        </w:tc>
        <w:tc>
          <w:tcPr>
            <w:tcW w:type="dxa" w:w="2000"/>
            <w:shd w:fill="D9E2F3" w:val="clear"/>
          </w:tcPr>
          <w:p>
            <w:r>
              <w:rPr>
                <w:b/>
                <w:bCs/>
                <w:sz w:val="20"/>
                <w:szCs w:val="20"/>
              </w:rPr>
              <w:t xml:space="preserve">Commune de Matam</w:t>
            </w:r>
          </w:p>
        </w:tc>
        <w:tc>
          <w:tcPr>
            <w:tcW w:type="dxa" w:w="2000"/>
            <w:shd w:fill="D9E2F3" w:val="clear"/>
          </w:tcPr>
          <w:p>
            <w:r>
              <w:rPr>
                <w:b/>
                <w:bCs/>
                <w:sz w:val="20"/>
                <w:szCs w:val="20"/>
              </w:rPr>
              <w:t xml:space="preserve">14 à 18 mois</w:t>
            </w:r>
          </w:p>
        </w:tc>
      </w:tr>
    </w:tbl>
    <w:p>
      <w:pPr>
        <w:spacing w:after="200"/>
      </w:pPr>
      <w:r>
        <w:t xml:space="preserve"/>
      </w:r>
    </w:p>
    <w:p>
      <w:pPr>
        <w:pStyle w:val="Heading1"/>
        <w:spacing w:after="160" w:before="320"/>
      </w:pPr>
      <w:r>
        <w:rPr>
          <w:b/>
          <w:bCs/>
        </w:rPr>
        <w:t xml:space="preserve">6. Calendrier prévisionnel</w:t>
      </w:r>
    </w:p>
    <w:p>
      <w:pPr>
        <w:spacing w:after="200"/>
      </w:pPr>
      <w:r>
        <w:t xml:space="preserve">Sous réserve de la validation politique et du financement, un calendrier indicatif pourrait se présenter ainsi :</w:t>
      </w:r>
    </w:p>
    <w:p>
      <w:pPr>
        <w:pStyle w:val="ListParagraph"/>
        <w:numPr>
          <w:ilvl w:val="0"/>
          <w:numId w:val="2"/>
        </w:numPr>
        <w:spacing w:after="120"/>
      </w:pPr>
      <w:r>
        <w:t xml:space="preserve">Trimestres 1 à 2 : mobilisation de l'équipe élargie, adaptation du cadre méthodologique à l'échelle de Matam, appel à assistance technique complémentaire si nécessaire.</w:t>
      </w:r>
    </w:p>
    <w:p>
      <w:pPr>
        <w:pStyle w:val="ListParagraph"/>
        <w:numPr>
          <w:ilvl w:val="0"/>
          <w:numId w:val="2"/>
        </w:numPr>
        <w:spacing w:after="120"/>
      </w:pPr>
      <w:r>
        <w:t xml:space="preserve">Trimestres 3 à 6 : collecte de données et cartographie de Matam, répertoire toponymique, numérotation — incluant le traitement des venelles et des immeubles multi-niveaux.</w:t>
      </w:r>
    </w:p>
    <w:p>
      <w:pPr>
        <w:pStyle w:val="ListParagraph"/>
        <w:numPr>
          <w:ilvl w:val="0"/>
          <w:numId w:val="2"/>
        </w:numPr>
        <w:spacing w:after="120"/>
      </w:pPr>
      <w:r>
        <w:t xml:space="preserve">Trimestre 7 : pose de la signalétique et mise en service de la base de données pour Matam.</w:t>
      </w:r>
    </w:p>
    <w:p>
      <w:pPr>
        <w:pStyle w:val="ListParagraph"/>
        <w:numPr>
          <w:ilvl w:val="0"/>
          <w:numId w:val="2"/>
        </w:numPr>
        <w:spacing w:after="120"/>
      </w:pPr>
      <w:r>
        <w:t xml:space="preserve">Trimestre 8 : évaluation de la phase et ajustement de la méthode.</w:t>
      </w:r>
    </w:p>
    <w:p>
      <w:pPr>
        <w:pStyle w:val="ListParagraph"/>
        <w:numPr>
          <w:ilvl w:val="0"/>
          <w:numId w:val="2"/>
        </w:numPr>
        <w:spacing w:after="120"/>
      </w:pPr>
      <w:r>
        <w:t xml:space="preserve">Trimestres 9 à 24 : extension progressive à Ratoma et Matoto.</w:t>
      </w:r>
    </w:p>
    <w:p>
      <w:pPr>
        <w:pStyle w:val="Heading1"/>
        <w:spacing w:after="160" w:before="320"/>
      </w:pPr>
      <w:r>
        <w:rPr>
          <w:b/>
          <w:bCs/>
        </w:rPr>
        <w:t xml:space="preserve">7. Budget estimatif</w:t>
      </w:r>
    </w:p>
    <w:p>
      <w:pPr>
        <w:spacing w:after="200"/>
      </w:pPr>
      <w:r>
        <w:t xml:space="preserve">Le chiffrage ci-dessous est une estimation d'ordre de grandeur, construite par analogie avec le coût unitaire observé sur un projet d'adressage urbain comparable mené dans la sous-région (Projet d'Adressage du District d'Abidjan — PADA), sur la même méthode que pour Kaloum et Dixinn. Ce coût unitaire (55 $/unité) est appliqué au nombre de bâtiments estimé pour Matam — environ 30 346 unités résidentielles et non résidentielles, à partir d'une population communale de 177 271 habitants au recensement RGPH-4 de 2025, projetée à environ 182 589 habitants en 2026, et d'une taille moyenne de ménage de 7,1 personnes (donnée dérivée des chiffres officiels de la mairie de Matam, plus précise que la moyenne urbaine générique utilisée pour Kaloum).</w:t>
      </w:r>
    </w:p>
    <w:p>
      <w:pPr>
        <w:spacing w:after="200"/>
      </w:pPr>
      <w:r>
        <w:t xml:space="preserve">Sur cette base, le coût total de la phase d'extension à Matam (hors provision) est estimé à environ 1 688 000 dollars américains, soit environ 14,79 milliards de francs guinéens (GNF). Ce chiffrage reste indicatif : il devra être affiné par un recensement de terrain et un appel d'offres auprès de prestataires spécialisés.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50"/>
      </w:tblGrid>
      <w:tr>
        <w:tc>
          <w:tcPr>
            <w:tcW w:type="dxa" w:w="4200"/>
            <w:shd w:fill="0F2D52" w:val="clear"/>
          </w:tcPr>
          <w:p>
            <w:r>
              <w:rPr>
                <w:b/>
                <w:bCs/>
                <w:color w:val="FFFFFF"/>
                <w:sz w:val="20"/>
                <w:szCs w:val="20"/>
              </w:rPr>
              <w:t xml:space="preserve">Poste de dépense</w:t>
            </w:r>
          </w:p>
        </w:tc>
        <w:tc>
          <w:tcPr>
            <w:tcW w:type="dxa" w:w="1600"/>
            <w:shd w:fill="0F2D52" w:val="clear"/>
          </w:tcPr>
          <w:p>
            <w:r>
              <w:rPr>
                <w:b/>
                <w:bCs/>
                <w:color w:val="FFFFFF"/>
                <w:sz w:val="20"/>
                <w:szCs w:val="20"/>
              </w:rPr>
              <w:t xml:space="preserve">Part du total</w:t>
            </w:r>
          </w:p>
        </w:tc>
        <w:tc>
          <w:tcPr>
            <w:tcW w:type="dxa" w:w="3550"/>
            <w:shd w:fill="0F2D52" w:val="clear"/>
          </w:tcPr>
          <w:p>
            <w:r>
              <w:rPr>
                <w:b/>
                <w:bCs/>
                <w:color w:val="FFFFFF"/>
                <w:sz w:val="20"/>
                <w:szCs w:val="20"/>
              </w:rPr>
              <w:t xml:space="preserve">Montant estimé</w:t>
            </w:r>
          </w:p>
        </w:tc>
      </w:tr>
      <w:tr>
        <w:tc>
          <w:tcPr>
            <w:tcW w:type="dxa" w:w="2000"/>
          </w:tcPr>
          <w:p>
            <w:r>
              <w:rPr>
                <w:sz w:val="20"/>
                <w:szCs w:val="20"/>
              </w:rPr>
              <w:t xml:space="preserve">Cartographie et collecte de données (imagerie, GPS, relevés terrain)</w:t>
            </w:r>
          </w:p>
        </w:tc>
        <w:tc>
          <w:tcPr>
            <w:tcW w:type="dxa" w:w="2000"/>
          </w:tcPr>
          <w:p>
            <w:r>
              <w:rPr>
                <w:sz w:val="20"/>
                <w:szCs w:val="20"/>
              </w:rPr>
              <w:t xml:space="preserve">25 %</w:t>
            </w:r>
          </w:p>
        </w:tc>
        <w:tc>
          <w:tcPr>
            <w:tcW w:type="dxa" w:w="2000"/>
          </w:tcPr>
          <w:p>
            <w:r>
              <w:rPr>
                <w:sz w:val="20"/>
                <w:szCs w:val="20"/>
              </w:rPr>
              <w:t xml:space="preserve">≈ 417 000 $ / 3,66 Mds GNF</w:t>
            </w:r>
          </w:p>
        </w:tc>
      </w:tr>
      <w:tr>
        <w:tc>
          <w:tcPr>
            <w:tcW w:type="dxa" w:w="2000"/>
          </w:tcPr>
          <w:p>
            <w:r>
              <w:rPr>
                <w:sz w:val="20"/>
                <w:szCs w:val="20"/>
              </w:rPr>
              <w:t xml:space="preserve">Répertoire toponymique et validation communale</w:t>
            </w:r>
          </w:p>
        </w:tc>
        <w:tc>
          <w:tcPr>
            <w:tcW w:type="dxa" w:w="2000"/>
          </w:tcPr>
          <w:p>
            <w:r>
              <w:rPr>
                <w:sz w:val="20"/>
                <w:szCs w:val="20"/>
              </w:rPr>
              <w:t xml:space="preserve">5 %</w:t>
            </w:r>
          </w:p>
        </w:tc>
        <w:tc>
          <w:tcPr>
            <w:tcW w:type="dxa" w:w="2000"/>
          </w:tcPr>
          <w:p>
            <w:r>
              <w:rPr>
                <w:sz w:val="20"/>
                <w:szCs w:val="20"/>
              </w:rPr>
              <w:t xml:space="preserve">≈ 83 000 $ / 0,73 Md GNF</w:t>
            </w:r>
          </w:p>
        </w:tc>
      </w:tr>
      <w:tr>
        <w:tc>
          <w:tcPr>
            <w:tcW w:type="dxa" w:w="2000"/>
          </w:tcPr>
          <w:p>
            <w:r>
              <w:rPr>
                <w:sz w:val="20"/>
                <w:szCs w:val="20"/>
              </w:rPr>
              <w:t xml:space="preserve">Enquête et numérotation des bâtiments (système métrique)</w:t>
            </w:r>
          </w:p>
        </w:tc>
        <w:tc>
          <w:tcPr>
            <w:tcW w:type="dxa" w:w="2000"/>
          </w:tcPr>
          <w:p>
            <w:r>
              <w:rPr>
                <w:sz w:val="20"/>
                <w:szCs w:val="20"/>
              </w:rPr>
              <w:t xml:space="preserve">20 %</w:t>
            </w:r>
          </w:p>
        </w:tc>
        <w:tc>
          <w:tcPr>
            <w:tcW w:type="dxa" w:w="2000"/>
          </w:tcPr>
          <w:p>
            <w:r>
              <w:rPr>
                <w:sz w:val="20"/>
                <w:szCs w:val="20"/>
              </w:rPr>
              <w:t xml:space="preserve">≈ 334 000 $ / 2,92 Mds GNF</w:t>
            </w:r>
          </w:p>
        </w:tc>
      </w:tr>
      <w:tr>
        <w:tc>
          <w:tcPr>
            <w:tcW w:type="dxa" w:w="2000"/>
          </w:tcPr>
          <w:p>
            <w:r>
              <w:rPr>
                <w:sz w:val="20"/>
                <w:szCs w:val="20"/>
              </w:rPr>
              <w:t xml:space="preserve">Base de données SIG et portail numérique</w:t>
            </w:r>
          </w:p>
        </w:tc>
        <w:tc>
          <w:tcPr>
            <w:tcW w:type="dxa" w:w="2000"/>
          </w:tcPr>
          <w:p>
            <w:r>
              <w:rPr>
                <w:sz w:val="20"/>
                <w:szCs w:val="20"/>
              </w:rPr>
              <w:t xml:space="preserve">15 %</w:t>
            </w:r>
          </w:p>
        </w:tc>
        <w:tc>
          <w:tcPr>
            <w:tcW w:type="dxa" w:w="2000"/>
          </w:tcPr>
          <w:p>
            <w:r>
              <w:rPr>
                <w:sz w:val="20"/>
                <w:szCs w:val="20"/>
              </w:rPr>
              <w:t xml:space="preserve">≈ 250 000 $ / 2,19 Mds GNF (portail existant réutilisé)</w:t>
            </w:r>
          </w:p>
        </w:tc>
      </w:tr>
      <w:tr>
        <w:tc>
          <w:tcPr>
            <w:tcW w:type="dxa" w:w="2000"/>
          </w:tcPr>
          <w:p>
            <w:r>
              <w:rPr>
                <w:sz w:val="20"/>
                <w:szCs w:val="20"/>
              </w:rPr>
              <w:t xml:space="preserve">Fabrication et pose de la signalétique (plaques rues et bâtiments)</w:t>
            </w:r>
          </w:p>
        </w:tc>
        <w:tc>
          <w:tcPr>
            <w:tcW w:type="dxa" w:w="2000"/>
          </w:tcPr>
          <w:p>
            <w:r>
              <w:rPr>
                <w:sz w:val="20"/>
                <w:szCs w:val="20"/>
              </w:rPr>
              <w:t xml:space="preserve">20 %</w:t>
            </w:r>
          </w:p>
        </w:tc>
        <w:tc>
          <w:tcPr>
            <w:tcW w:type="dxa" w:w="2000"/>
          </w:tcPr>
          <w:p>
            <w:r>
              <w:rPr>
                <w:sz w:val="20"/>
                <w:szCs w:val="20"/>
              </w:rPr>
              <w:t xml:space="preserve">≈ 334 000 $ / 2,92 Mds GNF</w:t>
            </w:r>
          </w:p>
        </w:tc>
      </w:tr>
      <w:tr>
        <w:tc>
          <w:tcPr>
            <w:tcW w:type="dxa" w:w="2000"/>
          </w:tcPr>
          <w:p>
            <w:r>
              <w:rPr>
                <w:sz w:val="20"/>
                <w:szCs w:val="20"/>
              </w:rPr>
              <w:t xml:space="preserve">Formation des agents communaux et sensibilisation</w:t>
            </w:r>
          </w:p>
        </w:tc>
        <w:tc>
          <w:tcPr>
            <w:tcW w:type="dxa" w:w="2000"/>
          </w:tcPr>
          <w:p>
            <w:r>
              <w:rPr>
                <w:sz w:val="20"/>
                <w:szCs w:val="20"/>
              </w:rPr>
              <w:t xml:space="preserve">5 %</w:t>
            </w:r>
          </w:p>
        </w:tc>
        <w:tc>
          <w:tcPr>
            <w:tcW w:type="dxa" w:w="2000"/>
          </w:tcPr>
          <w:p>
            <w:r>
              <w:rPr>
                <w:sz w:val="20"/>
                <w:szCs w:val="20"/>
              </w:rPr>
              <w:t xml:space="preserve">≈ 83 000 $ / 0,73 Md GNF</w:t>
            </w:r>
          </w:p>
        </w:tc>
      </w:tr>
      <w:tr>
        <w:tc>
          <w:tcPr>
            <w:tcW w:type="dxa" w:w="2000"/>
          </w:tcPr>
          <w:p>
            <w:r>
              <w:rPr>
                <w:sz w:val="20"/>
                <w:szCs w:val="20"/>
              </w:rPr>
              <w:t xml:space="preserve">Coordination et suivi-évaluation</w:t>
            </w:r>
          </w:p>
        </w:tc>
        <w:tc>
          <w:tcPr>
            <w:tcW w:type="dxa" w:w="2000"/>
          </w:tcPr>
          <w:p>
            <w:r>
              <w:rPr>
                <w:sz w:val="20"/>
                <w:szCs w:val="20"/>
              </w:rPr>
              <w:t xml:space="preserve">10 %</w:t>
            </w:r>
          </w:p>
        </w:tc>
        <w:tc>
          <w:tcPr>
            <w:tcW w:type="dxa" w:w="2000"/>
          </w:tcPr>
          <w:p>
            <w:r>
              <w:rPr>
                <w:sz w:val="20"/>
                <w:szCs w:val="20"/>
              </w:rPr>
              <w:t xml:space="preserve">≈ 167 000 $ / 1,46 Md GNF</w:t>
            </w:r>
          </w:p>
        </w:tc>
      </w:tr>
      <w:tr>
        <w:tc>
          <w:tcPr>
            <w:tcW w:type="dxa" w:w="2000"/>
          </w:tcPr>
          <w:p>
            <w:r>
              <w:rPr>
                <w:sz w:val="20"/>
                <w:szCs w:val="20"/>
              </w:rPr>
              <w:t xml:space="preserve">Ajustement — renforcement de la signalétique (4 poteaux/intersection)</w:t>
            </w:r>
          </w:p>
        </w:tc>
        <w:tc>
          <w:tcPr>
            <w:tcW w:type="dxa" w:w="2000"/>
          </w:tcPr>
          <w:p>
            <w:r>
              <w:rPr>
                <w:sz w:val="20"/>
                <w:szCs w:val="20"/>
              </w:rPr>
              <w:t xml:space="preserve">—</w:t>
            </w:r>
          </w:p>
        </w:tc>
        <w:tc>
          <w:tcPr>
            <w:tcW w:type="dxa" w:w="2000"/>
          </w:tcPr>
          <w:p>
            <w:r>
              <w:rPr>
                <w:sz w:val="20"/>
                <w:szCs w:val="20"/>
              </w:rPr>
              <w:t xml:space="preserve">+ 12 500 $ / 110 M GNF</w:t>
            </w:r>
          </w:p>
        </w:tc>
      </w:tr>
      <w:tr>
        <w:tc>
          <w:tcPr>
            <w:tcW w:type="dxa" w:w="2000"/>
          </w:tcPr>
          <w:p>
            <w:r>
              <w:rPr>
                <w:sz w:val="20"/>
                <w:szCs w:val="20"/>
              </w:rPr>
              <w:t xml:space="preserve">Ajustement — venelles piétonnes et bâtiments multi-niveaux</w:t>
            </w:r>
          </w:p>
        </w:tc>
        <w:tc>
          <w:tcPr>
            <w:tcW w:type="dxa" w:w="2000"/>
          </w:tcPr>
          <w:p>
            <w:r>
              <w:rPr>
                <w:sz w:val="20"/>
                <w:szCs w:val="20"/>
              </w:rPr>
              <w:t xml:space="preserve">—</w:t>
            </w:r>
          </w:p>
        </w:tc>
        <w:tc>
          <w:tcPr>
            <w:tcW w:type="dxa" w:w="2000"/>
          </w:tcPr>
          <w:p>
            <w:r>
              <w:rPr>
                <w:sz w:val="20"/>
                <w:szCs w:val="20"/>
              </w:rPr>
              <w:t xml:space="preserve">+ 6 500 $ / 57 M GNF</w:t>
            </w:r>
          </w:p>
        </w:tc>
      </w:tr>
      <w:tr>
        <w:tc>
          <w:tcPr>
            <w:tcW w:type="dxa" w:w="2000"/>
            <w:shd w:fill="D9E2F3" w:val="clear"/>
          </w:tcPr>
          <w:p>
            <w:r>
              <w:rPr>
                <w:b/>
                <w:bCs/>
                <w:sz w:val="20"/>
                <w:szCs w:val="20"/>
              </w:rPr>
              <w:t xml:space="preserve">TOTAL (avant provision pour imprévus)</w:t>
            </w:r>
          </w:p>
        </w:tc>
        <w:tc>
          <w:tcPr>
            <w:tcW w:type="dxa" w:w="2000"/>
            <w:shd w:fill="D9E2F3" w:val="clear"/>
          </w:tcPr>
          <w:p>
            <w:r>
              <w:rPr>
                <w:b/>
                <w:bCs/>
                <w:sz w:val="20"/>
                <w:szCs w:val="20"/>
              </w:rPr>
              <w:t xml:space="preserve">—</w:t>
            </w:r>
          </w:p>
        </w:tc>
        <w:tc>
          <w:tcPr>
            <w:tcW w:type="dxa" w:w="2000"/>
            <w:shd w:fill="D9E2F3" w:val="clear"/>
          </w:tcPr>
          <w:p>
            <w:r>
              <w:rPr>
                <w:b/>
                <w:bCs/>
                <w:sz w:val="20"/>
                <w:szCs w:val="20"/>
              </w:rPr>
              <w:t xml:space="preserve">≈ 1 688 000 $ / 14,79 Mds GNF</w:t>
            </w:r>
          </w:p>
        </w:tc>
      </w:tr>
    </w:tbl>
    <w:p>
      <w:pPr>
        <w:spacing w:after="200"/>
      </w:pPr>
      <w:r>
        <w:t xml:space="preserve"/>
      </w:r>
    </w:p>
    <w:p>
      <w:pPr>
        <w:spacing w:after="200"/>
      </w:pPr>
      <w:r>
        <w:rPr>
          <w:i/>
          <w:iCs/>
        </w:rPr>
        <w:t xml:space="preserve">Note méthodologique : ce chiffrage repose sur des hypothèses explicites (croissance démographique, taille des ménages, part des bâtiments non résidentiels, taux de change USD/GNF) réunies dans un modèle de calcul dédié, permettant de recalculer le budget si ces hypothèses évoluent. Une provision pour imprévus, détaillée dans la section suivante, s'ajoute à ce montant de base.</w:t>
      </w:r>
    </w:p>
    <w:p>
      <w:pPr>
        <w:pStyle w:val="Heading1"/>
        <w:spacing w:after="160" w:before="320"/>
      </w:pPr>
      <w:r>
        <w:rPr>
          <w:b/>
          <w:bCs/>
        </w:rPr>
        <w:t xml:space="preserve">8. Gestion des risques, des erreurs et provision pour imprévus</w:t>
      </w:r>
    </w:p>
    <w:p>
      <w:pPr>
        <w:pStyle w:val="Heading2"/>
        <w:spacing w:after="160" w:before="320"/>
      </w:pPr>
      <w:r>
        <w:rPr>
          <w:b/>
          <w:bCs/>
        </w:rPr>
        <w:t xml:space="preserve">8.1. Principaux risques identifiés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c>
          <w:tcPr>
            <w:tcW w:type="dxa" w:w="2200"/>
            <w:shd w:fill="0F2D52" w:val="clear"/>
          </w:tcPr>
          <w:p>
            <w:r>
              <w:rPr>
                <w:b/>
                <w:bCs/>
                <w:color w:val="FFFFFF"/>
                <w:sz w:val="20"/>
                <w:szCs w:val="20"/>
              </w:rPr>
              <w:t xml:space="preserve">Type de risque</w:t>
            </w:r>
          </w:p>
        </w:tc>
        <w:tc>
          <w:tcPr>
            <w:tcW w:type="dxa" w:w="3400"/>
            <w:shd w:fill="0F2D52" w:val="clear"/>
          </w:tcPr>
          <w:p>
            <w:r>
              <w:rPr>
                <w:b/>
                <w:bCs/>
                <w:color w:val="FFFFFF"/>
                <w:sz w:val="20"/>
                <w:szCs w:val="20"/>
              </w:rPr>
              <w:t xml:space="preserve">Description</w:t>
            </w:r>
          </w:p>
        </w:tc>
        <w:tc>
          <w:tcPr>
            <w:tcW w:type="dxa" w:w="3750"/>
            <w:shd w:fill="0F2D52" w:val="clear"/>
          </w:tcPr>
          <w:p>
            <w:r>
              <w:rPr>
                <w:b/>
                <w:bCs/>
                <w:color w:val="FFFFFF"/>
                <w:sz w:val="20"/>
                <w:szCs w:val="20"/>
              </w:rPr>
              <w:t xml:space="preserve">Mesure d'atténuation</w:t>
            </w:r>
          </w:p>
        </w:tc>
      </w:tr>
      <w:tr>
        <w:tc>
          <w:tcPr>
            <w:tcW w:type="dxa" w:w="2000"/>
          </w:tcPr>
          <w:p>
            <w:r>
              <w:rPr>
                <w:sz w:val="20"/>
                <w:szCs w:val="20"/>
              </w:rPr>
              <w:t xml:space="preserve">Erreurs de mesure ou de numérotation</w:t>
            </w:r>
          </w:p>
        </w:tc>
        <w:tc>
          <w:tcPr>
            <w:tcW w:type="dxa" w:w="2000"/>
          </w:tcPr>
          <w:p>
            <w:r>
              <w:rPr>
                <w:sz w:val="20"/>
                <w:szCs w:val="20"/>
              </w:rPr>
              <w:t xml:space="preserve">Distance mal relevée, numéro attribué au mauvais bâtiment, doublon</w:t>
            </w:r>
          </w:p>
        </w:tc>
        <w:tc>
          <w:tcPr>
            <w:tcW w:type="dxa" w:w="2000"/>
          </w:tcPr>
          <w:p>
            <w:r>
              <w:rPr>
                <w:sz w:val="20"/>
                <w:szCs w:val="20"/>
              </w:rPr>
              <w:t xml:space="preserve">Double contrôle terrain, validation communale avant pose des plaques</w:t>
            </w:r>
          </w:p>
        </w:tc>
      </w:tr>
      <w:tr>
        <w:tc>
          <w:tcPr>
            <w:tcW w:type="dxa" w:w="2000"/>
          </w:tcPr>
          <w:p>
            <w:r>
              <w:rPr>
                <w:sz w:val="20"/>
                <w:szCs w:val="20"/>
              </w:rPr>
              <w:t xml:space="preserve">Retards de calendrier</w:t>
            </w:r>
          </w:p>
        </w:tc>
        <w:tc>
          <w:tcPr>
            <w:tcW w:type="dxa" w:w="2000"/>
          </w:tcPr>
          <w:p>
            <w:r>
              <w:rPr>
                <w:sz w:val="20"/>
                <w:szCs w:val="20"/>
              </w:rPr>
              <w:t xml:space="preserve">Livraison tardive d'équipements, disponibilité des équipes, saison des pluies</w:t>
            </w:r>
          </w:p>
        </w:tc>
        <w:tc>
          <w:tcPr>
            <w:tcW w:type="dxa" w:w="2000"/>
          </w:tcPr>
          <w:p>
            <w:r>
              <w:rPr>
                <w:sz w:val="20"/>
                <w:szCs w:val="20"/>
              </w:rPr>
              <w:t xml:space="preserve">Calendrier prévoyant des marges, phasage flexible, provision financière</w:t>
            </w:r>
          </w:p>
        </w:tc>
      </w:tr>
      <w:tr>
        <w:tc>
          <w:tcPr>
            <w:tcW w:type="dxa" w:w="2000"/>
          </w:tcPr>
          <w:p>
            <w:r>
              <w:rPr>
                <w:sz w:val="20"/>
                <w:szCs w:val="20"/>
              </w:rPr>
              <w:t xml:space="preserve">Fluctuation des coûts</w:t>
            </w:r>
          </w:p>
        </w:tc>
        <w:tc>
          <w:tcPr>
            <w:tcW w:type="dxa" w:w="2000"/>
          </w:tcPr>
          <w:p>
            <w:r>
              <w:rPr>
                <w:sz w:val="20"/>
                <w:szCs w:val="20"/>
              </w:rPr>
              <w:t xml:space="preserve">Variation du taux de change USD/GNF, hausse du prix des matériaux importés</w:t>
            </w:r>
          </w:p>
        </w:tc>
        <w:tc>
          <w:tcPr>
            <w:tcW w:type="dxa" w:w="2000"/>
          </w:tcPr>
          <w:p>
            <w:r>
              <w:rPr>
                <w:sz w:val="20"/>
                <w:szCs w:val="20"/>
              </w:rPr>
              <w:t xml:space="preserve">Modèle de calcul actualisable, provision dédiée (section 8.3)</w:t>
            </w:r>
          </w:p>
        </w:tc>
      </w:tr>
      <w:tr>
        <w:tc>
          <w:tcPr>
            <w:tcW w:type="dxa" w:w="2000"/>
          </w:tcPr>
          <w:p>
            <w:r>
              <w:rPr>
                <w:sz w:val="20"/>
                <w:szCs w:val="20"/>
              </w:rPr>
              <w:t xml:space="preserve">Risques organisationnels</w:t>
            </w:r>
          </w:p>
        </w:tc>
        <w:tc>
          <w:tcPr>
            <w:tcW w:type="dxa" w:w="2000"/>
          </w:tcPr>
          <w:p>
            <w:r>
              <w:rPr>
                <w:sz w:val="20"/>
                <w:szCs w:val="20"/>
              </w:rPr>
              <w:t xml:space="preserve">Rotation du personnel, coordination entre acteurs institutionnels</w:t>
            </w:r>
          </w:p>
        </w:tc>
        <w:tc>
          <w:tcPr>
            <w:tcW w:type="dxa" w:w="2000"/>
          </w:tcPr>
          <w:p>
            <w:r>
              <w:rPr>
                <w:sz w:val="20"/>
                <w:szCs w:val="20"/>
              </w:rPr>
              <w:t xml:space="preserve">Comité de pilotage interministériel, chefs d'équipe dédiés, documentation continue</w:t>
            </w:r>
          </w:p>
        </w:tc>
      </w:tr>
      <w:tr>
        <w:tc>
          <w:tcPr>
            <w:tcW w:type="dxa" w:w="2000"/>
          </w:tcPr>
          <w:p>
            <w:r>
              <w:rPr>
                <w:sz w:val="20"/>
                <w:szCs w:val="20"/>
              </w:rPr>
              <w:t xml:space="preserve">Résistance à l'adoption</w:t>
            </w:r>
          </w:p>
        </w:tc>
        <w:tc>
          <w:tcPr>
            <w:tcW w:type="dxa" w:w="2000"/>
          </w:tcPr>
          <w:p>
            <w:r>
              <w:rPr>
                <w:sz w:val="20"/>
                <w:szCs w:val="20"/>
              </w:rPr>
              <w:t xml:space="preserve">Réticence de certains habitants ou commerçants à l'égard des nouveaux numéros</w:t>
            </w:r>
          </w:p>
        </w:tc>
        <w:tc>
          <w:tcPr>
            <w:tcW w:type="dxa" w:w="2000"/>
          </w:tcPr>
          <w:p>
            <w:r>
              <w:rPr>
                <w:sz w:val="20"/>
                <w:szCs w:val="20"/>
              </w:rPr>
              <w:t xml:space="preserve">Agents de sensibilisation communautaire (un par quartier), association des chefs de quartier</w:t>
            </w:r>
          </w:p>
        </w:tc>
      </w:tr>
    </w:tbl>
    <w:p>
      <w:pPr>
        <w:spacing w:after="200"/>
      </w:pPr>
      <w:r>
        <w:t xml:space="preserve"/>
      </w:r>
    </w:p>
    <w:p>
      <w:pPr>
        <w:pStyle w:val="Heading2"/>
        <w:spacing w:after="160" w:before="320"/>
      </w:pPr>
      <w:r>
        <w:rPr>
          <w:b/>
          <w:bCs/>
        </w:rPr>
        <w:t xml:space="preserve">8.2. Mécanismes de prévention et de correction des erreurs</w:t>
      </w:r>
    </w:p>
    <w:p>
      <w:pPr>
        <w:pStyle w:val="ListParagraph"/>
        <w:numPr>
          <w:ilvl w:val="0"/>
          <w:numId w:val="2"/>
        </w:numPr>
        <w:spacing w:after="120"/>
      </w:pPr>
      <w:r>
        <w:t xml:space="preserve">Contrôle qualité à deux niveaux : chaque relevé de terrain est vérifié par le chef d'équipe avant intégration dans la base de données, puis un contrôle d'ensemble est effectué par le responsable SIG avant validation finale.</w:t>
      </w:r>
    </w:p>
    <w:p>
      <w:pPr>
        <w:pStyle w:val="ListParagraph"/>
        <w:numPr>
          <w:ilvl w:val="0"/>
          <w:numId w:val="2"/>
        </w:numPr>
        <w:spacing w:after="120"/>
      </w:pPr>
      <w:r>
        <w:t xml:space="preserve">Validation communale avant pose des plaques : la mairie de Matam et les chefs des 24 quartiers vérifient la cohérence des noms de voies et des numéros sur le terrain avant la fabrication de la signalétique.</w:t>
      </w:r>
    </w:p>
    <w:p>
      <w:pPr>
        <w:pStyle w:val="ListParagraph"/>
        <w:numPr>
          <w:ilvl w:val="0"/>
          <w:numId w:val="2"/>
        </w:numPr>
        <w:spacing w:after="120"/>
      </w:pPr>
      <w:r>
        <w:t xml:space="preserve">Base de données SIG versionnée : chaque modification est enregistrée avec sa date et son auteur, ce qui permet de revenir en arrière si nécessaire.</w:t>
      </w:r>
    </w:p>
    <w:p>
      <w:pPr>
        <w:pStyle w:val="ListParagraph"/>
        <w:numPr>
          <w:ilvl w:val="0"/>
          <w:numId w:val="2"/>
        </w:numPr>
        <w:spacing w:after="120"/>
      </w:pPr>
      <w:r>
        <w:t xml:space="preserve">Avantage du système métrique face à l'erreur : une erreur ou un oubli localisé n'oblige pas à renuméroter toute une rue — seul le ou les bâtiments concernés sont corrigés.</w:t>
      </w:r>
    </w:p>
    <w:p>
      <w:pPr>
        <w:pStyle w:val="ListParagraph"/>
        <w:numPr>
          <w:ilvl w:val="0"/>
          <w:numId w:val="2"/>
        </w:numPr>
        <w:spacing w:after="120"/>
      </w:pPr>
      <w:r>
        <w:t xml:space="preserve">Mécanisme de signalement ouvert aux usagers : un point de contact simple (guichet à la mairie, formulaire sur le portail numérique) permet de signaler une erreur d'adresse après la mise en service.</w:t>
      </w:r>
    </w:p>
    <w:p>
      <w:pPr>
        <w:pStyle w:val="ListParagraph"/>
        <w:numPr>
          <w:ilvl w:val="0"/>
          <w:numId w:val="2"/>
        </w:numPr>
        <w:spacing w:after="120"/>
      </w:pPr>
      <w:r>
        <w:t xml:space="preserve">Audit indépendant de fin de phase : permet de détecter les anomalies systématiques avant l'extension aux communes suivantes.</w:t>
      </w:r>
    </w:p>
    <w:p>
      <w:pPr>
        <w:pStyle w:val="Heading2"/>
        <w:spacing w:after="160" w:before="320"/>
      </w:pPr>
      <w:r>
        <w:rPr>
          <w:b/>
          <w:bCs/>
        </w:rPr>
        <w:t xml:space="preserve">8.3. Provision pour imprévus, retards et fluctuation des coûts</w:t>
      </w:r>
    </w:p>
    <w:p>
      <w:pPr>
        <w:spacing w:after="200"/>
      </w:pPr>
      <w:r>
        <w:t xml:space="preserve">Une provision de 18 % est retenue, dans la continuité des phases précédentes du projet.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2075"/>
        <w:gridCol w:w="2075"/>
      </w:tblGrid>
      <w:tr>
        <w:tc>
          <w:tcPr>
            <w:tcW w:type="dxa" w:w="5200"/>
            <w:shd w:fill="0F2D52" w:val="clear"/>
          </w:tcPr>
          <w:p>
            <w:r>
              <w:rPr>
                <w:b/>
                <w:bCs/>
                <w:color w:val="FFFFFF"/>
                <w:sz w:val="20"/>
                <w:szCs w:val="20"/>
              </w:rPr>
              <w:t xml:space="preserve"/>
            </w:r>
          </w:p>
        </w:tc>
        <w:tc>
          <w:tcPr>
            <w:tcW w:type="dxa" w:w="2075"/>
            <w:shd w:fill="0F2D52" w:val="clear"/>
          </w:tcPr>
          <w:p>
            <w:r>
              <w:rPr>
                <w:b/>
                <w:bCs/>
                <w:color w:val="FFFFFF"/>
                <w:sz w:val="20"/>
                <w:szCs w:val="20"/>
              </w:rPr>
              <w:t xml:space="preserve">Montant (USD)</w:t>
            </w:r>
          </w:p>
        </w:tc>
        <w:tc>
          <w:tcPr>
            <w:tcW w:type="dxa" w:w="2075"/>
            <w:shd w:fill="0F2D52" w:val="clear"/>
          </w:tcPr>
          <w:p>
            <w:r>
              <w:rPr>
                <w:b/>
                <w:bCs/>
                <w:color w:val="FFFFFF"/>
                <w:sz w:val="20"/>
                <w:szCs w:val="20"/>
              </w:rPr>
              <w:t xml:space="preserve">Montant (GNF)</w:t>
            </w:r>
          </w:p>
        </w:tc>
      </w:tr>
      <w:tr>
        <w:tc>
          <w:tcPr>
            <w:tcW w:type="dxa" w:w="2000"/>
          </w:tcPr>
          <w:p>
            <w:r>
              <w:rPr>
                <w:sz w:val="20"/>
                <w:szCs w:val="20"/>
              </w:rPr>
              <w:t xml:space="preserve">Budget de base et ajustements (section 7)</w:t>
            </w:r>
          </w:p>
        </w:tc>
        <w:tc>
          <w:tcPr>
            <w:tcW w:type="dxa" w:w="2000"/>
          </w:tcPr>
          <w:p>
            <w:r>
              <w:rPr>
                <w:sz w:val="20"/>
                <w:szCs w:val="20"/>
              </w:rPr>
              <w:t xml:space="preserve">≈ 1 688 000 $</w:t>
            </w:r>
          </w:p>
        </w:tc>
        <w:tc>
          <w:tcPr>
            <w:tcW w:type="dxa" w:w="2000"/>
          </w:tcPr>
          <w:p>
            <w:r>
              <w:rPr>
                <w:sz w:val="20"/>
                <w:szCs w:val="20"/>
              </w:rPr>
              <w:t xml:space="preserve">≈ 14,79 Mds GNF</w:t>
            </w:r>
          </w:p>
        </w:tc>
      </w:tr>
      <w:tr>
        <w:tc>
          <w:tcPr>
            <w:tcW w:type="dxa" w:w="2000"/>
          </w:tcPr>
          <w:p>
            <w:r>
              <w:rPr>
                <w:sz w:val="20"/>
                <w:szCs w:val="20"/>
              </w:rPr>
              <w:t xml:space="preserve">Provision pour imprévus (18 %)</w:t>
            </w:r>
          </w:p>
        </w:tc>
        <w:tc>
          <w:tcPr>
            <w:tcW w:type="dxa" w:w="2000"/>
          </w:tcPr>
          <w:p>
            <w:r>
              <w:rPr>
                <w:sz w:val="20"/>
                <w:szCs w:val="20"/>
              </w:rPr>
              <w:t xml:space="preserve">≈ 304 000 $</w:t>
            </w:r>
          </w:p>
        </w:tc>
        <w:tc>
          <w:tcPr>
            <w:tcW w:type="dxa" w:w="2000"/>
          </w:tcPr>
          <w:p>
            <w:r>
              <w:rPr>
                <w:sz w:val="20"/>
                <w:szCs w:val="20"/>
              </w:rPr>
              <w:t xml:space="preserve">≈ 2,66 Mds GNF</w:t>
            </w:r>
          </w:p>
        </w:tc>
      </w:tr>
      <w:tr>
        <w:tc>
          <w:tcPr>
            <w:tcW w:type="dxa" w:w="2000"/>
            <w:shd w:fill="D9E2F3" w:val="clear"/>
          </w:tcPr>
          <w:p>
            <w:r>
              <w:rPr>
                <w:b/>
                <w:bCs/>
                <w:sz w:val="20"/>
                <w:szCs w:val="20"/>
              </w:rPr>
              <w:t xml:space="preserve">BUDGET TOTAL AVEC PROVISION</w:t>
            </w:r>
          </w:p>
        </w:tc>
        <w:tc>
          <w:tcPr>
            <w:tcW w:type="dxa" w:w="2000"/>
            <w:shd w:fill="D9E2F3" w:val="clear"/>
          </w:tcPr>
          <w:p>
            <w:r>
              <w:rPr>
                <w:b/>
                <w:bCs/>
                <w:sz w:val="20"/>
                <w:szCs w:val="20"/>
              </w:rPr>
              <w:t xml:space="preserve">≈ 1 992 000 $</w:t>
            </w:r>
          </w:p>
        </w:tc>
        <w:tc>
          <w:tcPr>
            <w:tcW w:type="dxa" w:w="2000"/>
            <w:shd w:fill="D9E2F3" w:val="clear"/>
          </w:tcPr>
          <w:p>
            <w:r>
              <w:rPr>
                <w:b/>
                <w:bCs/>
                <w:sz w:val="20"/>
                <w:szCs w:val="20"/>
              </w:rPr>
              <w:t xml:space="preserve">≈ 17,45 Mds GNF</w:t>
            </w:r>
          </w:p>
        </w:tc>
      </w:tr>
    </w:tbl>
    <w:p>
      <w:pPr>
        <w:spacing w:after="200"/>
      </w:pPr>
      <w:r>
        <w:t xml:space="preserve"/>
      </w:r>
    </w:p>
    <w:p>
      <w:pPr>
        <w:spacing w:after="200"/>
      </w:pPr>
      <w:r>
        <w:rPr>
          <w:i/>
          <w:iCs/>
        </w:rPr>
        <w:t xml:space="preserve">Cette provision n'est pas une réserve figée sur un seul poste : elle est mobilisable selon les besoins réels constatés en cours d'exécution, sous le contrôle du comité de pilotage. Le taux retenu reste modifiable dans le modèle de calcul associé à cette proposition.</w:t>
      </w:r>
    </w:p>
    <w:p>
      <w:pPr>
        <w:spacing w:after="200"/>
      </w:pPr>
      <w:r>
        <w:rPr>
          <w:i/>
          <w:iCs/>
        </w:rPr>
        <w:t xml:space="preserve">À titre de comparaison, une approche ascendante — sommant directement les effectifs et équipements détaillés aux sections 9 et 10 plutôt que le coût moyen par unité — aboutirait à un budget total d'environ 7,91 milliards de GNF (≈ 903 000 $), soit environ 45 % de moins que l'estimation ci-dessus. Cet écart reflète tout ce que la méthode par coût moyen (référence PADA Abidjan) capture de façon implicite — marge, risque, frais généraux — sans le détailler poste par poste ; les deux approches figurent, avec leur comparaison chiffrée, dans le modèle de calcul associé à cette proposition.</w:t>
      </w:r>
    </w:p>
    <w:p>
      <w:pPr>
        <w:pStyle w:val="Heading1"/>
        <w:spacing w:after="160" w:before="320"/>
      </w:pPr>
      <w:r>
        <w:rPr>
          <w:b/>
          <w:bCs/>
        </w:rPr>
        <w:t xml:space="preserve">9. Ressources humaines nécessaires</w:t>
      </w:r>
    </w:p>
    <w:p>
      <w:pPr>
        <w:spacing w:after="200"/>
      </w:pPr>
      <w:r>
        <w:t xml:space="preserve">La phase d'extension à Matam (environ 30 346 bâtiments à recenser et numéroter, sur une durée de 14 à 18 mois) nécessite une équipe pluridisciplinaire combinant un noyau de coordination technique et une équipe de terrain recrutée pour la durée de la campagne de collecte, dimensionnée à partir du gabarit du pilote de Kaloum et mise à l'échelle du volume de bâtiments estimé pour Matam.</w:t>
      </w:r>
    </w:p>
    <w:p>
      <w:pPr>
        <w:pStyle w:val="Heading2"/>
        <w:spacing w:after="160" w:before="320"/>
      </w:pPr>
      <w:r>
        <w:rPr>
          <w:b/>
          <w:bCs/>
        </w:rPr>
        <w:t xml:space="preserve">9.1. Équipe de coordination et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50"/>
      </w:tblGrid>
      <w:tr>
        <w:tc>
          <w:tcPr>
            <w:tcW w:type="dxa" w:w="4200"/>
            <w:shd w:fill="0F2D52" w:val="clear"/>
          </w:tcPr>
          <w:p>
            <w:r>
              <w:rPr>
                <w:b/>
                <w:bCs/>
                <w:color w:val="FFFFFF"/>
                <w:sz w:val="20"/>
                <w:szCs w:val="20"/>
              </w:rPr>
              <w:t xml:space="preserve">Poste</w:t>
            </w:r>
          </w:p>
        </w:tc>
        <w:tc>
          <w:tcPr>
            <w:tcW w:type="dxa" w:w="1400"/>
            <w:shd w:fill="0F2D52" w:val="clear"/>
          </w:tcPr>
          <w:p>
            <w:r>
              <w:rPr>
                <w:b/>
                <w:bCs/>
                <w:color w:val="FFFFFF"/>
                <w:sz w:val="20"/>
                <w:szCs w:val="20"/>
              </w:rPr>
              <w:t xml:space="preserve">Effectif</w:t>
            </w:r>
          </w:p>
        </w:tc>
        <w:tc>
          <w:tcPr>
            <w:tcW w:type="dxa" w:w="3750"/>
            <w:shd w:fill="0F2D52" w:val="clear"/>
          </w:tcPr>
          <w:p>
            <w:r>
              <w:rPr>
                <w:b/>
                <w:bCs/>
                <w:color w:val="FFFFFF"/>
                <w:sz w:val="20"/>
                <w:szCs w:val="20"/>
              </w:rPr>
              <w:t xml:space="preserve">Profil recherché</w:t>
            </w:r>
          </w:p>
        </w:tc>
      </w:tr>
      <w:tr>
        <w:tc>
          <w:tcPr>
            <w:tcW w:type="dxa" w:w="2000"/>
          </w:tcPr>
          <w:p>
            <w:r>
              <w:rPr>
                <w:sz w:val="20"/>
                <w:szCs w:val="20"/>
              </w:rPr>
              <w:t xml:space="preserve">Chef de projet</w:t>
            </w:r>
          </w:p>
        </w:tc>
        <w:tc>
          <w:tcPr>
            <w:tcW w:type="dxa" w:w="2000"/>
          </w:tcPr>
          <w:p>
            <w:r>
              <w:rPr>
                <w:sz w:val="20"/>
                <w:szCs w:val="20"/>
              </w:rPr>
              <w:t xml:space="preserve">1</w:t>
            </w:r>
          </w:p>
        </w:tc>
        <w:tc>
          <w:tcPr>
            <w:tcW w:type="dxa" w:w="2000"/>
          </w:tcPr>
          <w:p>
            <w:r>
              <w:rPr>
                <w:sz w:val="20"/>
                <w:szCs w:val="20"/>
              </w:rPr>
              <w:t xml:space="preserve">Ingénieur urbaniste / aménagement du territoire, expérience en gestion de projet</w:t>
            </w:r>
          </w:p>
        </w:tc>
      </w:tr>
      <w:tr>
        <w:tc>
          <w:tcPr>
            <w:tcW w:type="dxa" w:w="2000"/>
          </w:tcPr>
          <w:p>
            <w:r>
              <w:rPr>
                <w:sz w:val="20"/>
                <w:szCs w:val="20"/>
              </w:rPr>
              <w:t xml:space="preserve">Responsable SIG / géomaticien en chef</w:t>
            </w:r>
          </w:p>
        </w:tc>
        <w:tc>
          <w:tcPr>
            <w:tcW w:type="dxa" w:w="2000"/>
          </w:tcPr>
          <w:p>
            <w:r>
              <w:rPr>
                <w:sz w:val="20"/>
                <w:szCs w:val="20"/>
              </w:rPr>
              <w:t xml:space="preserve">1</w:t>
            </w:r>
          </w:p>
        </w:tc>
        <w:tc>
          <w:tcPr>
            <w:tcW w:type="dxa" w:w="2000"/>
          </w:tcPr>
          <w:p>
            <w:r>
              <w:rPr>
                <w:sz w:val="20"/>
                <w:szCs w:val="20"/>
              </w:rPr>
              <w:t xml:space="preserve">Pilotage de la méthodologie cartographique et de la base de données</w:t>
            </w:r>
          </w:p>
        </w:tc>
      </w:tr>
      <w:tr>
        <w:tc>
          <w:tcPr>
            <w:tcW w:type="dxa" w:w="2000"/>
          </w:tcPr>
          <w:p>
            <w:r>
              <w:rPr>
                <w:sz w:val="20"/>
                <w:szCs w:val="20"/>
              </w:rPr>
              <w:t xml:space="preserve">Techniciens SIG / cartographes</w:t>
            </w:r>
          </w:p>
        </w:tc>
        <w:tc>
          <w:tcPr>
            <w:tcW w:type="dxa" w:w="2000"/>
          </w:tcPr>
          <w:p>
            <w:r>
              <w:rPr>
                <w:sz w:val="20"/>
                <w:szCs w:val="20"/>
              </w:rPr>
              <w:t xml:space="preserve">7</w:t>
            </w:r>
          </w:p>
        </w:tc>
        <w:tc>
          <w:tcPr>
            <w:tcW w:type="dxa" w:w="2000"/>
          </w:tcPr>
          <w:p>
            <w:r>
              <w:rPr>
                <w:sz w:val="20"/>
                <w:szCs w:val="20"/>
              </w:rPr>
              <w:t xml:space="preserve">Traitement de l'imagerie, production des cartes, contrôle qualité</w:t>
            </w:r>
          </w:p>
        </w:tc>
      </w:tr>
      <w:tr>
        <w:tc>
          <w:tcPr>
            <w:tcW w:type="dxa" w:w="2000"/>
          </w:tcPr>
          <w:p>
            <w:r>
              <w:rPr>
                <w:sz w:val="20"/>
                <w:szCs w:val="20"/>
              </w:rPr>
              <w:t xml:space="preserve">Développeurs informatiques (base de données / portail)</w:t>
            </w:r>
          </w:p>
        </w:tc>
        <w:tc>
          <w:tcPr>
            <w:tcW w:type="dxa" w:w="2000"/>
          </w:tcPr>
          <w:p>
            <w:r>
              <w:rPr>
                <w:sz w:val="20"/>
                <w:szCs w:val="20"/>
              </w:rPr>
              <w:t xml:space="preserve">4</w:t>
            </w:r>
          </w:p>
        </w:tc>
        <w:tc>
          <w:tcPr>
            <w:tcW w:type="dxa" w:w="2000"/>
          </w:tcPr>
          <w:p>
            <w:r>
              <w:rPr>
                <w:sz w:val="20"/>
                <w:szCs w:val="20"/>
              </w:rPr>
              <w:t xml:space="preserve">Adaptation du portail existant, maintenance du système SIG</w:t>
            </w:r>
          </w:p>
        </w:tc>
      </w:tr>
      <w:tr>
        <w:tc>
          <w:tcPr>
            <w:tcW w:type="dxa" w:w="2000"/>
          </w:tcPr>
          <w:p>
            <w:r>
              <w:rPr>
                <w:sz w:val="20"/>
                <w:szCs w:val="20"/>
              </w:rPr>
              <w:t xml:space="preserve">Chefs d'équipe de terrain (superviseurs)</w:t>
            </w:r>
          </w:p>
        </w:tc>
        <w:tc>
          <w:tcPr>
            <w:tcW w:type="dxa" w:w="2000"/>
          </w:tcPr>
          <w:p>
            <w:r>
              <w:rPr>
                <w:sz w:val="20"/>
                <w:szCs w:val="20"/>
              </w:rPr>
              <w:t xml:space="preserve">5</w:t>
            </w:r>
          </w:p>
        </w:tc>
        <w:tc>
          <w:tcPr>
            <w:tcW w:type="dxa" w:w="2000"/>
          </w:tcPr>
          <w:p>
            <w:r>
              <w:rPr>
                <w:sz w:val="20"/>
                <w:szCs w:val="20"/>
              </w:rPr>
              <w:t xml:space="preserve">Encadrement des enquêteurs, contrôle qualité terrain</w:t>
            </w:r>
          </w:p>
        </w:tc>
      </w:tr>
    </w:tbl>
    <w:p>
      <w:pPr>
        <w:spacing w:after="200"/>
      </w:pPr>
      <w:r>
        <w:t xml:space="preserve"/>
      </w:r>
    </w:p>
    <w:p>
      <w:pPr>
        <w:pStyle w:val="Heading2"/>
        <w:spacing w:after="160" w:before="320"/>
      </w:pPr>
      <w:r>
        <w:rPr>
          <w:b/>
          <w:bCs/>
        </w:rPr>
        <w:t xml:space="preserve">9.2. Équipe de terrain (recrutement temporaire, ~14 à 18 mois)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50"/>
      </w:tblGrid>
      <w:tr>
        <w:tc>
          <w:tcPr>
            <w:tcW w:type="dxa" w:w="4200"/>
            <w:shd w:fill="0F2D52" w:val="clear"/>
          </w:tcPr>
          <w:p>
            <w:r>
              <w:rPr>
                <w:b/>
                <w:bCs/>
                <w:color w:val="FFFFFF"/>
                <w:sz w:val="20"/>
                <w:szCs w:val="20"/>
              </w:rPr>
              <w:t xml:space="preserve">Poste</w:t>
            </w:r>
          </w:p>
        </w:tc>
        <w:tc>
          <w:tcPr>
            <w:tcW w:type="dxa" w:w="1400"/>
            <w:shd w:fill="0F2D52" w:val="clear"/>
          </w:tcPr>
          <w:p>
            <w:r>
              <w:rPr>
                <w:b/>
                <w:bCs/>
                <w:color w:val="FFFFFF"/>
                <w:sz w:val="20"/>
                <w:szCs w:val="20"/>
              </w:rPr>
              <w:t xml:space="preserve">Effectif</w:t>
            </w:r>
          </w:p>
        </w:tc>
        <w:tc>
          <w:tcPr>
            <w:tcW w:type="dxa" w:w="3750"/>
            <w:shd w:fill="0F2D52" w:val="clear"/>
          </w:tcPr>
          <w:p>
            <w:r>
              <w:rPr>
                <w:b/>
                <w:bCs/>
                <w:color w:val="FFFFFF"/>
                <w:sz w:val="20"/>
                <w:szCs w:val="20"/>
              </w:rPr>
              <w:t xml:space="preserve">Profil recherché</w:t>
            </w:r>
          </w:p>
        </w:tc>
      </w:tr>
      <w:tr>
        <w:tc>
          <w:tcPr>
            <w:tcW w:type="dxa" w:w="2000"/>
          </w:tcPr>
          <w:p>
            <w:r>
              <w:rPr>
                <w:sz w:val="20"/>
                <w:szCs w:val="20"/>
              </w:rPr>
              <w:t xml:space="preserve">Agents enquêteurs (numérotation + relevés GPS), en binômes</w:t>
            </w:r>
          </w:p>
        </w:tc>
        <w:tc>
          <w:tcPr>
            <w:tcW w:type="dxa" w:w="2000"/>
          </w:tcPr>
          <w:p>
            <w:r>
              <w:rPr>
                <w:sz w:val="20"/>
                <w:szCs w:val="20"/>
              </w:rPr>
              <w:t xml:space="preserve">22</w:t>
            </w:r>
          </w:p>
        </w:tc>
        <w:tc>
          <w:tcPr>
            <w:tcW w:type="dxa" w:w="2000"/>
          </w:tcPr>
          <w:p>
            <w:r>
              <w:rPr>
                <w:sz w:val="20"/>
                <w:szCs w:val="20"/>
              </w:rPr>
              <w:t xml:space="preserve">Niveau bac+2 ou expérience en enquêtes de terrain, formation courte assurée par le projet</w:t>
            </w:r>
          </w:p>
        </w:tc>
      </w:tr>
      <w:tr>
        <w:tc>
          <w:tcPr>
            <w:tcW w:type="dxa" w:w="2000"/>
          </w:tcPr>
          <w:p>
            <w:r>
              <w:rPr>
                <w:sz w:val="20"/>
                <w:szCs w:val="20"/>
              </w:rPr>
              <w:t xml:space="preserve">Agents de sensibilisation communautaire</w:t>
            </w:r>
          </w:p>
        </w:tc>
        <w:tc>
          <w:tcPr>
            <w:tcW w:type="dxa" w:w="2000"/>
          </w:tcPr>
          <w:p>
            <w:r>
              <w:rPr>
                <w:sz w:val="20"/>
                <w:szCs w:val="20"/>
              </w:rPr>
              <w:t xml:space="preserve">10</w:t>
            </w:r>
          </w:p>
        </w:tc>
        <w:tc>
          <w:tcPr>
            <w:tcW w:type="dxa" w:w="2000"/>
          </w:tcPr>
          <w:p>
            <w:r>
              <w:rPr>
                <w:sz w:val="20"/>
                <w:szCs w:val="20"/>
              </w:rPr>
              <w:t xml:space="preserve">Liaison avec les chefs des 24 quartiers de Matam, médiation avec les habitants</w:t>
            </w:r>
          </w:p>
        </w:tc>
      </w:tr>
      <w:tr>
        <w:tc>
          <w:tcPr>
            <w:tcW w:type="dxa" w:w="2000"/>
          </w:tcPr>
          <w:p>
            <w:r>
              <w:rPr>
                <w:sz w:val="20"/>
                <w:szCs w:val="20"/>
              </w:rPr>
              <w:t xml:space="preserve">Personnel de renfort / réserve</w:t>
            </w:r>
          </w:p>
        </w:tc>
        <w:tc>
          <w:tcPr>
            <w:tcW w:type="dxa" w:w="2000"/>
          </w:tcPr>
          <w:p>
            <w:r>
              <w:rPr>
                <w:sz w:val="20"/>
                <w:szCs w:val="20"/>
              </w:rPr>
              <w:t xml:space="preserve">7</w:t>
            </w:r>
          </w:p>
        </w:tc>
        <w:tc>
          <w:tcPr>
            <w:tcW w:type="dxa" w:w="2000"/>
          </w:tcPr>
          <w:p>
            <w:r>
              <w:rPr>
                <w:sz w:val="20"/>
                <w:szCs w:val="20"/>
              </w:rPr>
              <w:t xml:space="preserve">Profil polyvalent, mobilisé selon les besoins constatés</w:t>
            </w:r>
          </w:p>
        </w:tc>
      </w:tr>
    </w:tbl>
    <w:p>
      <w:pPr>
        <w:spacing w:after="200"/>
      </w:pPr>
      <w:r>
        <w:t xml:space="preserve"/>
      </w:r>
    </w:p>
    <w:p>
      <w:pPr>
        <w:pStyle w:val="Heading2"/>
        <w:spacing w:after="160" w:before="320"/>
      </w:pPr>
      <w:r>
        <w:rPr>
          <w:b/>
          <w:bCs/>
        </w:rPr>
        <w:t xml:space="preserve">9.3. Consultants ponctuels et support</w:t>
      </w:r>
    </w:p>
    <w:p>
      <w:pPr>
        <w:pStyle w:val="ListParagraph"/>
        <w:numPr>
          <w:ilvl w:val="0"/>
          <w:numId w:val="2"/>
        </w:numPr>
        <w:spacing w:after="120"/>
      </w:pPr>
      <w:r>
        <w:t xml:space="preserve">Spécialiste toponymie (validation des noms de rues) — 1 mission ponctuelle, en lien avec la mairie de Matam.</w:t>
      </w:r>
    </w:p>
    <w:p>
      <w:pPr>
        <w:pStyle w:val="ListParagraph"/>
        <w:numPr>
          <w:ilvl w:val="0"/>
          <w:numId w:val="2"/>
        </w:numPr>
        <w:spacing w:after="120"/>
      </w:pPr>
      <w:r>
        <w:t xml:space="preserve">Expert juridique/institutionnel — 1 mission ponctuelle, appui au cadre légal.</w:t>
      </w:r>
    </w:p>
    <w:p>
      <w:pPr>
        <w:pStyle w:val="ListParagraph"/>
        <w:numPr>
          <w:ilvl w:val="0"/>
          <w:numId w:val="2"/>
        </w:numPr>
        <w:spacing w:after="120"/>
      </w:pPr>
      <w:r>
        <w:t xml:space="preserve">Personnel administratif et financier — 4 postes.</w:t>
      </w:r>
    </w:p>
    <w:p>
      <w:pPr>
        <w:pStyle w:val="ListParagraph"/>
        <w:numPr>
          <w:ilvl w:val="0"/>
          <w:numId w:val="2"/>
        </w:numPr>
        <w:spacing w:after="120"/>
      </w:pPr>
      <w:r>
        <w:t xml:space="preserve">Chauffeurs / logistique — 4 postes.</w:t>
      </w:r>
    </w:p>
    <w:p>
      <w:pPr>
        <w:pStyle w:val="ListParagraph"/>
        <w:numPr>
          <w:ilvl w:val="0"/>
          <w:numId w:val="2"/>
        </w:numPr>
        <w:spacing w:after="120"/>
      </w:pPr>
      <w:r>
        <w:t xml:space="preserve">Équipe de pose de la signalétique — généralement sous-traitée à une entreprise locale (coût inclus dans le poste « signalétique » du budget).</w:t>
      </w:r>
    </w:p>
    <w:p>
      <w:pPr>
        <w:spacing w:after="200"/>
      </w:pPr>
      <w:r>
        <w:t xml:space="preserve">Au total, la phase mobilise directement environ 61 personnes recrutées ou affectées au projet, auxquelles s'ajoute la sous-traitance de la pose de signalétique. La masse salariale de cette équipe est estimée à environ 2,53 milliards de GNF (≈ 289 000 dollars américains) sur la durée de l'extension. Ce chiffrage détaillé, avec effectifs et rémunérations modifiables, figure dans le modèle de calcul associé à cette proposition.</w:t>
      </w:r>
    </w:p>
    <w:p>
      <w:pPr>
        <w:pStyle w:val="Heading1"/>
        <w:spacing w:after="160" w:before="320"/>
      </w:pPr>
      <w:r>
        <w:rPr>
          <w:b/>
          <w:bCs/>
        </w:rPr>
        <w:t xml:space="preserve">10. Équipements et prestataires de services</w:t>
      </w:r>
    </w:p>
    <w:p>
      <w:pPr>
        <w:pStyle w:val="Heading2"/>
        <w:spacing w:after="160" w:before="320"/>
      </w:pPr>
      <w:r>
        <w:rPr>
          <w:b/>
          <w:bCs/>
        </w:rPr>
        <w:t xml:space="preserve">10.1. Équipements à acquérir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800"/>
        <w:gridCol w:w="2850"/>
      </w:tblGrid>
      <w:tr>
        <w:tc>
          <w:tcPr>
            <w:tcW w:type="dxa" w:w="4700"/>
            <w:shd w:fill="0F2D52" w:val="clear"/>
          </w:tcPr>
          <w:p>
            <w:r>
              <w:rPr>
                <w:b/>
                <w:bCs/>
                <w:color w:val="FFFFFF"/>
                <w:sz w:val="20"/>
                <w:szCs w:val="20"/>
              </w:rPr>
              <w:t xml:space="preserve">Article</w:t>
            </w:r>
          </w:p>
        </w:tc>
        <w:tc>
          <w:tcPr>
            <w:tcW w:type="dxa" w:w="1800"/>
            <w:shd w:fill="0F2D52" w:val="clear"/>
          </w:tcPr>
          <w:p>
            <w:r>
              <w:rPr>
                <w:b/>
                <w:bCs/>
                <w:color w:val="FFFFFF"/>
                <w:sz w:val="20"/>
                <w:szCs w:val="20"/>
              </w:rPr>
              <w:t xml:space="preserve">Quantité indicative</w:t>
            </w:r>
          </w:p>
        </w:tc>
        <w:tc>
          <w:tcPr>
            <w:tcW w:type="dxa" w:w="2850"/>
            <w:shd w:fill="0F2D52" w:val="clear"/>
          </w:tcPr>
          <w:p>
            <w:r>
              <w:rPr>
                <w:b/>
                <w:bCs/>
                <w:color w:val="FFFFFF"/>
                <w:sz w:val="20"/>
                <w:szCs w:val="20"/>
              </w:rPr>
              <w:t xml:space="preserve">Observation</w:t>
            </w:r>
          </w:p>
        </w:tc>
      </w:tr>
      <w:tr>
        <w:tc>
          <w:tcPr>
            <w:tcW w:type="dxa" w:w="2000"/>
          </w:tcPr>
          <w:p>
            <w:r>
              <w:rPr>
                <w:sz w:val="20"/>
                <w:szCs w:val="20"/>
              </w:rPr>
              <w:t xml:space="preserve">Récepteurs GPS de précision (sub-métrique)</w:t>
            </w:r>
          </w:p>
        </w:tc>
        <w:tc>
          <w:tcPr>
            <w:tcW w:type="dxa" w:w="2000"/>
          </w:tcPr>
          <w:p>
            <w:r>
              <w:rPr>
                <w:sz w:val="20"/>
                <w:szCs w:val="20"/>
              </w:rPr>
              <w:t xml:space="preserve">19</w:t>
            </w:r>
          </w:p>
        </w:tc>
        <w:tc>
          <w:tcPr>
            <w:tcW w:type="dxa" w:w="2000"/>
          </w:tcPr>
          <w:p>
            <w:r>
              <w:rPr>
                <w:sz w:val="20"/>
                <w:szCs w:val="20"/>
              </w:rPr>
              <w:t xml:space="preserve">Un par binôme d'enquêteurs et par superviseur</w:t>
            </w:r>
          </w:p>
        </w:tc>
      </w:tr>
      <w:tr>
        <w:tc>
          <w:tcPr>
            <w:tcW w:type="dxa" w:w="2000"/>
          </w:tcPr>
          <w:p>
            <w:r>
              <w:rPr>
                <w:sz w:val="20"/>
                <w:szCs w:val="20"/>
              </w:rPr>
              <w:t xml:space="preserve">Tablettes de terrain robustes (collecte mobile)</w:t>
            </w:r>
          </w:p>
        </w:tc>
        <w:tc>
          <w:tcPr>
            <w:tcW w:type="dxa" w:w="2000"/>
          </w:tcPr>
          <w:p>
            <w:r>
              <w:rPr>
                <w:sz w:val="20"/>
                <w:szCs w:val="20"/>
              </w:rPr>
              <w:t xml:space="preserve">22</w:t>
            </w:r>
          </w:p>
        </w:tc>
        <w:tc>
          <w:tcPr>
            <w:tcW w:type="dxa" w:w="2000"/>
          </w:tcPr>
          <w:p>
            <w:r>
              <w:rPr>
                <w:sz w:val="20"/>
                <w:szCs w:val="20"/>
              </w:rPr>
              <w:t xml:space="preserve">Application de collecte, fonctionnement hors connexion</w:t>
            </w:r>
          </w:p>
        </w:tc>
      </w:tr>
      <w:tr>
        <w:tc>
          <w:tcPr>
            <w:tcW w:type="dxa" w:w="2000"/>
          </w:tcPr>
          <w:p>
            <w:r>
              <w:rPr>
                <w:sz w:val="20"/>
                <w:szCs w:val="20"/>
              </w:rPr>
              <w:t xml:space="preserve">Ordinateurs portables (équipe SIG / bureau)</w:t>
            </w:r>
          </w:p>
        </w:tc>
        <w:tc>
          <w:tcPr>
            <w:tcW w:type="dxa" w:w="2000"/>
          </w:tcPr>
          <w:p>
            <w:r>
              <w:rPr>
                <w:sz w:val="20"/>
                <w:szCs w:val="20"/>
              </w:rPr>
              <w:t xml:space="preserve">13</w:t>
            </w:r>
          </w:p>
        </w:tc>
        <w:tc>
          <w:tcPr>
            <w:tcW w:type="dxa" w:w="2000"/>
          </w:tcPr>
          <w:p>
            <w:r>
              <w:rPr>
                <w:sz w:val="20"/>
                <w:szCs w:val="20"/>
              </w:rPr>
              <w:t xml:space="preserve">Traitement des données et gestion de la base SIG</w:t>
            </w:r>
          </w:p>
        </w:tc>
      </w:tr>
      <w:tr>
        <w:tc>
          <w:tcPr>
            <w:tcW w:type="dxa" w:w="2000"/>
          </w:tcPr>
          <w:p>
            <w:r>
              <w:rPr>
                <w:sz w:val="20"/>
                <w:szCs w:val="20"/>
              </w:rPr>
              <w:t xml:space="preserve">Licences logiciels SIG</w:t>
            </w:r>
          </w:p>
        </w:tc>
        <w:tc>
          <w:tcPr>
            <w:tcW w:type="dxa" w:w="2000"/>
          </w:tcPr>
          <w:p>
            <w:r>
              <w:rPr>
                <w:sz w:val="20"/>
                <w:szCs w:val="20"/>
              </w:rPr>
              <w:t xml:space="preserve">2 lots</w:t>
            </w:r>
          </w:p>
        </w:tc>
        <w:tc>
          <w:tcPr>
            <w:tcW w:type="dxa" w:w="2000"/>
          </w:tcPr>
          <w:p>
            <w:r>
              <w:rPr>
                <w:sz w:val="20"/>
                <w:szCs w:val="20"/>
              </w:rPr>
              <w:t xml:space="preserve">QGIS (libre) possible en base, avec appui technique payant</w:t>
            </w:r>
          </w:p>
        </w:tc>
      </w:tr>
      <w:tr>
        <w:tc>
          <w:tcPr>
            <w:tcW w:type="dxa" w:w="2000"/>
          </w:tcPr>
          <w:p>
            <w:r>
              <w:rPr>
                <w:sz w:val="20"/>
                <w:szCs w:val="20"/>
              </w:rPr>
              <w:t xml:space="preserve">Serveur / hébergement cloud</w:t>
            </w:r>
          </w:p>
        </w:tc>
        <w:tc>
          <w:tcPr>
            <w:tcW w:type="dxa" w:w="2000"/>
          </w:tcPr>
          <w:p>
            <w:r>
              <w:rPr>
                <w:sz w:val="20"/>
                <w:szCs w:val="20"/>
              </w:rPr>
              <w:t xml:space="preserve">2 (12 mois)</w:t>
            </w:r>
          </w:p>
        </w:tc>
        <w:tc>
          <w:tcPr>
            <w:tcW w:type="dxa" w:w="2000"/>
          </w:tcPr>
          <w:p>
            <w:r>
              <w:rPr>
                <w:sz w:val="20"/>
                <w:szCs w:val="20"/>
              </w:rPr>
              <w:t xml:space="preserve">Hébergement sécurisé, accessible aux services de l'État</w:t>
            </w:r>
          </w:p>
        </w:tc>
      </w:tr>
      <w:tr>
        <w:tc>
          <w:tcPr>
            <w:tcW w:type="dxa" w:w="2000"/>
          </w:tcPr>
          <w:p>
            <w:r>
              <w:rPr>
                <w:sz w:val="20"/>
                <w:szCs w:val="20"/>
              </w:rPr>
              <w:t xml:space="preserve">Véhicules 4x4 / motos (location)</w:t>
            </w:r>
          </w:p>
        </w:tc>
        <w:tc>
          <w:tcPr>
            <w:tcW w:type="dxa" w:w="2000"/>
          </w:tcPr>
          <w:p>
            <w:r>
              <w:rPr>
                <w:sz w:val="20"/>
                <w:szCs w:val="20"/>
              </w:rPr>
              <w:t xml:space="preserve">5 (9 mois)</w:t>
            </w:r>
          </w:p>
        </w:tc>
        <w:tc>
          <w:tcPr>
            <w:tcW w:type="dxa" w:w="2000"/>
          </w:tcPr>
          <w:p>
            <w:r>
              <w:rPr>
                <w:sz w:val="20"/>
                <w:szCs w:val="20"/>
              </w:rPr>
              <w:t xml:space="preserve">Location préférée à l'achat pour une phase d'extension</w:t>
            </w:r>
          </w:p>
        </w:tc>
      </w:tr>
      <w:tr>
        <w:tc>
          <w:tcPr>
            <w:tcW w:type="dxa" w:w="2000"/>
          </w:tcPr>
          <w:p>
            <w:r>
              <w:rPr>
                <w:sz w:val="20"/>
                <w:szCs w:val="20"/>
              </w:rPr>
              <w:t xml:space="preserve">Plaques de numérotation des bâtiments</w:t>
            </w:r>
          </w:p>
        </w:tc>
        <w:tc>
          <w:tcPr>
            <w:tcW w:type="dxa" w:w="2000"/>
          </w:tcPr>
          <w:p>
            <w:r>
              <w:rPr>
                <w:sz w:val="20"/>
                <w:szCs w:val="20"/>
              </w:rPr>
              <w:t xml:space="preserve">≈ 30 346</w:t>
            </w:r>
          </w:p>
        </w:tc>
        <w:tc>
          <w:tcPr>
            <w:tcW w:type="dxa" w:w="2000"/>
          </w:tcPr>
          <w:p>
            <w:r>
              <w:rPr>
                <w:sz w:val="20"/>
                <w:szCs w:val="20"/>
              </w:rPr>
              <w:t xml:space="preserve">Une par bâtiment recensé, fabrication et gravure</w:t>
            </w:r>
          </w:p>
        </w:tc>
      </w:tr>
      <w:tr>
        <w:tc>
          <w:tcPr>
            <w:tcW w:type="dxa" w:w="2000"/>
          </w:tcPr>
          <w:p>
            <w:r>
              <w:rPr>
                <w:sz w:val="20"/>
                <w:szCs w:val="20"/>
              </w:rPr>
              <w:t xml:space="preserve">Poteau et plaque de rue — fourniture</w:t>
            </w:r>
          </w:p>
        </w:tc>
        <w:tc>
          <w:tcPr>
            <w:tcW w:type="dxa" w:w="2000"/>
          </w:tcPr>
          <w:p>
            <w:r>
              <w:rPr>
                <w:sz w:val="20"/>
                <w:szCs w:val="20"/>
              </w:rPr>
              <w:t xml:space="preserve">≈ 2 100</w:t>
            </w:r>
          </w:p>
        </w:tc>
        <w:tc>
          <w:tcPr>
            <w:tcW w:type="dxa" w:w="2000"/>
          </w:tcPr>
          <w:p>
            <w:r>
              <w:rPr>
                <w:sz w:val="20"/>
                <w:szCs w:val="20"/>
              </w:rPr>
              <w:t xml:space="preserve">525 intersections estimées × 4 poteaux (acier galvanisé + plaque émaillée)</w:t>
            </w:r>
          </w:p>
        </w:tc>
      </w:tr>
      <w:tr>
        <w:tc>
          <w:tcPr>
            <w:tcW w:type="dxa" w:w="2000"/>
          </w:tcPr>
          <w:p>
            <w:r>
              <w:rPr>
                <w:sz w:val="20"/>
                <w:szCs w:val="20"/>
              </w:rPr>
              <w:t xml:space="preserve">Creusement, ciment et main d'œuvre de pose</w:t>
            </w:r>
          </w:p>
        </w:tc>
        <w:tc>
          <w:tcPr>
            <w:tcW w:type="dxa" w:w="2000"/>
          </w:tcPr>
          <w:p>
            <w:r>
              <w:rPr>
                <w:sz w:val="20"/>
                <w:szCs w:val="20"/>
              </w:rPr>
              <w:t xml:space="preserve">≈ 2 100</w:t>
            </w:r>
          </w:p>
        </w:tc>
        <w:tc>
          <w:tcPr>
            <w:tcW w:type="dxa" w:w="2000"/>
          </w:tcPr>
          <w:p>
            <w:r>
              <w:rPr>
                <w:sz w:val="20"/>
                <w:szCs w:val="20"/>
              </w:rPr>
              <w:t xml:space="preserve">Un massif d'ancrage par poteau</w:t>
            </w:r>
          </w:p>
        </w:tc>
      </w:tr>
    </w:tbl>
    <w:p>
      <w:pPr>
        <w:spacing w:after="200"/>
      </w:pPr>
      <w:r>
        <w:t xml:space="preserve"/>
      </w:r>
    </w:p>
    <w:p>
      <w:pPr>
        <w:pStyle w:val="Heading2"/>
        <w:spacing w:after="160" w:before="320"/>
      </w:pPr>
      <w:r>
        <w:rPr>
          <w:b/>
          <w:bCs/>
        </w:rPr>
        <w:t xml:space="preserve">10.2. Prestataires de services (sous-traitance)</w:t>
      </w:r>
    </w:p>
    <w:p>
      <w:pPr>
        <w:pStyle w:val="ListParagraph"/>
        <w:numPr>
          <w:ilvl w:val="0"/>
          <w:numId w:val="2"/>
        </w:numPr>
        <w:spacing w:after="120"/>
      </w:pPr>
      <w:r>
        <w:t xml:space="preserve">Prestataire d'imagerie satellite ou de prises de vue par drone, pour la couverture cartographique de Matam.</w:t>
      </w:r>
    </w:p>
    <w:p>
      <w:pPr>
        <w:pStyle w:val="ListParagraph"/>
        <w:numPr>
          <w:ilvl w:val="0"/>
          <w:numId w:val="2"/>
        </w:numPr>
        <w:spacing w:after="120"/>
      </w:pPr>
      <w:r>
        <w:t xml:space="preserve">Bureau d'études SIG / géomatique, pour l'assistance technique méthodologique.</w:t>
      </w:r>
    </w:p>
    <w:p>
      <w:pPr>
        <w:pStyle w:val="ListParagraph"/>
        <w:numPr>
          <w:ilvl w:val="0"/>
          <w:numId w:val="2"/>
        </w:numPr>
        <w:spacing w:after="120"/>
      </w:pPr>
      <w:r>
        <w:t xml:space="preserve">Entreprise de fabrication et de pose de la signalétique.</w:t>
      </w:r>
    </w:p>
    <w:p>
      <w:pPr>
        <w:pStyle w:val="ListParagraph"/>
        <w:numPr>
          <w:ilvl w:val="0"/>
          <w:numId w:val="2"/>
        </w:numPr>
        <w:spacing w:after="120"/>
      </w:pPr>
      <w:r>
        <w:t xml:space="preserve">Prestataire d'impression pour les supports de sensibilisation des populations.</w:t>
      </w:r>
    </w:p>
    <w:p>
      <w:pPr>
        <w:pStyle w:val="ListParagraph"/>
        <w:numPr>
          <w:ilvl w:val="0"/>
          <w:numId w:val="2"/>
        </w:numPr>
        <w:spacing w:after="120"/>
      </w:pPr>
      <w:r>
        <w:t xml:space="preserve">Auditeur indépendant pour l'évaluation de fin de phase.</w:t>
      </w:r>
    </w:p>
    <w:p>
      <w:pPr>
        <w:pStyle w:val="ListParagraph"/>
        <w:numPr>
          <w:ilvl w:val="0"/>
          <w:numId w:val="2"/>
        </w:numPr>
        <w:spacing w:after="120"/>
      </w:pPr>
      <w:r>
        <w:t xml:space="preserve">Consultance ponctuelle d'experts internationaux (réserve de 20 jours-expert), mobilisable au besoin.</w:t>
      </w:r>
    </w:p>
    <w:p>
      <w:pPr>
        <w:spacing w:after="200"/>
      </w:pPr>
      <w:r>
        <w:t xml:space="preserve">Le nombre de poteaux de plaques de rue est calculé par intersection : à raison de 3 intersections en moyenne pour 2 voies (soit environ 525 intersections pour 350 voies estimées) et de 4 poteaux par intersection, environ 2 100 poteaux/plaques de rue sont à fabriquer et poser.</w:t>
      </w:r>
    </w:p>
    <w:p>
      <w:pPr>
        <w:spacing w:after="200"/>
      </w:pPr>
      <w:r>
        <w:t xml:space="preserve">Le total des équipements et prestataires de services (y compris l'ajustement venelles/bâtiments multi-niveaux) pour la phase d'extension à Matam est estimé à environ 476 000 dollars américains (soit environ 4,17 milliards de GNF), dont la majeure partie correspond à la fabrication des plaques de numérotation et à l'assistance technique en géomatique. Ce chiffrage, avec quantités et coûts unitaires modifiables, figure dans le modèle de calcul associé à cette proposition.</w:t>
      </w:r>
    </w:p>
    <w:p>
      <w:pPr>
        <w:pStyle w:val="Heading2"/>
        <w:spacing w:after="160" w:before="320"/>
      </w:pPr>
      <w:r>
        <w:rPr>
          <w:b/>
          <w:bCs/>
        </w:rPr>
        <w:t xml:space="preserve">10.3. Maquette proposée pour la signalétique</w:t>
      </w:r>
    </w:p>
    <w:p>
      <w:pPr>
        <w:spacing w:after="200"/>
      </w:pPr>
      <w:r>
        <w:t xml:space="preserve">À titre d'illustration, la maquette ci-dessous propose un format de plaque de rue et de plaque de numéro de bâtiment pour Matam, aux couleurs institutionnelles de la République de Guinée (rouge, jaune, vert), avec des noms de rues représentatifs des quartiers de Matam (Bonfi, Coléah, Madina).</w:t>
      </w:r>
    </w:p>
    <w:p>
      <w:pPr>
        <w:spacing w:after="200"/>
      </w:pPr>
      <w:r>
        <w:t xml:space="preserve">La plaque de rue indique en plus le numéro du premier et du dernier bâtiment du tronçon compris entre deux intersections. Comme la numérotation suit directement la distance en mètres depuis l'origine de la voie, cet écart donne immédiatement à l'usager une idée concrète de la longueur du tronçon à parcourir.</w:t>
      </w:r>
    </w:p>
    <w:p>
      <w:pPr>
        <w:spacing w:after="60" w:before="160"/>
        <w:jc w:val="center"/>
      </w:pPr>
      <w:r>
        <w:drawing>
          <wp:inline distT="0" distB="0" distL="0" distR="0">
            <wp:extent cx="5715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52525"/>
                    </a:xfrm>
                    <a:prstGeom prst="rect">
                      <a:avLst/>
                    </a:prstGeom>
                  </pic:spPr>
                </pic:pic>
              </a:graphicData>
            </a:graphic>
          </wp:inline>
        </w:drawing>
      </w:r>
    </w:p>
    <w:p>
      <w:pPr>
        <w:spacing w:after="220"/>
        <w:jc w:val="center"/>
      </w:pPr>
      <w:r>
        <w:rPr>
          <w:i/>
          <w:iCs/>
          <w:color w:val="5C6B7A"/>
          <w:sz w:val="18"/>
          <w:szCs w:val="18"/>
        </w:rPr>
        <w:t xml:space="preserve">Trois options de couleur pour la plaque de rue, illustrées avec des noms de voies de Matam</w:t>
      </w:r>
    </w:p>
    <w:p>
      <w:pPr>
        <w:spacing w:after="200"/>
      </w:pPr>
      <w:r>
        <w:t xml:space="preserve">Les mêmes trois options de couleur sont déclinées ci-dessous pour la plaque de numéro de bâtiment, avec un fond coloré assorti à chaque variante, le nom de la voie agrandi, et le numéro dans une teinte distincte pour chaque option.</w:t>
      </w:r>
    </w:p>
    <w:p>
      <w:pPr>
        <w:spacing w:after="60" w:before="160"/>
        <w:jc w:val="center"/>
      </w:pPr>
      <w:r>
        <w:drawing>
          <wp:inline distT="0" distB="0" distL="0" distR="0">
            <wp:extent cx="4762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143000"/>
                    </a:xfrm>
                    <a:prstGeom prst="rect">
                      <a:avLst/>
                    </a:prstGeom>
                  </pic:spPr>
                </pic:pic>
              </a:graphicData>
            </a:graphic>
          </wp:inline>
        </w:drawing>
      </w:r>
    </w:p>
    <w:p>
      <w:pPr>
        <w:spacing w:after="220"/>
        <w:jc w:val="center"/>
      </w:pPr>
      <w:r>
        <w:rPr>
          <w:i/>
          <w:iCs/>
          <w:color w:val="5C6B7A"/>
          <w:sz w:val="18"/>
          <w:szCs w:val="18"/>
        </w:rPr>
        <w:t xml:space="preserve">Trois options de couleur pour la plaque de numéro de bâtiment</w:t>
      </w:r>
    </w:p>
    <w:p>
      <w:pPr>
        <w:spacing w:after="200"/>
      </w:pPr>
      <w:r>
        <w:t xml:space="preserve">Ces trois variantes restent des propositions indicatives ; la couleur, la typographie et l'éventuel symbole institutionnel à faire figurer sur la plaque seraient à arrêter conjointement avec le ministère de la Communication et la mairie de Matam avant la fabrication en série.</w:t>
      </w:r>
    </w:p>
    <w:p>
      <w:pPr>
        <w:spacing w:after="200"/>
      </w:pPr>
      <w:r>
        <w:t xml:space="preserve">L'illustration ci-dessous propose une mise en situation : la plaque de rue montée sur un poteau au coin d'une intersection (Avenue de Bonfi), et la plaque de numéro apposée sur la façade d'un bâtiment voisin.</w:t>
      </w:r>
    </w:p>
    <w:p>
      <w:pPr>
        <w:spacing w:after="60" w:before="16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220"/>
        <w:jc w:val="center"/>
      </w:pPr>
      <w:r>
        <w:rPr>
          <w:i/>
          <w:iCs/>
          <w:color w:val="5C6B7A"/>
          <w:sz w:val="18"/>
          <w:szCs w:val="18"/>
        </w:rPr>
        <w:t xml:space="preserve">Mise en situation à un carrefour type de Matam</w:t>
      </w:r>
    </w:p>
    <w:p>
      <w:pPr>
        <w:pStyle w:val="Heading2"/>
        <w:spacing w:after="160" w:before="320"/>
      </w:pPr>
      <w:r>
        <w:rPr>
          <w:b/>
          <w:bCs/>
        </w:rPr>
        <w:t xml:space="preserve">10.4. Spécifications techniques des plaques</w:t>
      </w:r>
    </w:p>
    <w:p>
      <w:pPr>
        <w:spacing w:after="200"/>
      </w:pPr>
      <w:r>
        <w:t xml:space="preserve">Compte tenu du climat tropical et côtier de Conakry (forte humidité, pluies abondantes, air salin, ensoleillement intense), les spécifications suivantes — inchangées par rapport aux phases Kaloum et Dixinn — sont proposées pour garantir la lisibilité et la durabilité de la signalétique à Matam.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50"/>
      </w:tblGrid>
      <w:tr>
        <w:tc>
          <w:tcPr>
            <w:tcW w:type="dxa" w:w="3800"/>
            <w:shd w:fill="0F2D52" w:val="clear"/>
          </w:tcPr>
          <w:p>
            <w:r>
              <w:rPr>
                <w:b/>
                <w:bCs/>
                <w:color w:val="FFFFFF"/>
                <w:sz w:val="20"/>
                <w:szCs w:val="20"/>
              </w:rPr>
              <w:t xml:space="preserve">Plaque</w:t>
            </w:r>
          </w:p>
        </w:tc>
        <w:tc>
          <w:tcPr>
            <w:tcW w:type="dxa" w:w="3000"/>
            <w:shd w:fill="0F2D52" w:val="clear"/>
          </w:tcPr>
          <w:p>
            <w:r>
              <w:rPr>
                <w:b/>
                <w:bCs/>
                <w:color w:val="FFFFFF"/>
                <w:sz w:val="20"/>
                <w:szCs w:val="20"/>
              </w:rPr>
              <w:t xml:space="preserve">Format recommandé</w:t>
            </w:r>
          </w:p>
        </w:tc>
        <w:tc>
          <w:tcPr>
            <w:tcW w:type="dxa" w:w="2550"/>
            <w:shd w:fill="0F2D52" w:val="clear"/>
          </w:tcPr>
          <w:p>
            <w:r>
              <w:rPr>
                <w:b/>
                <w:bCs/>
                <w:color w:val="FFFFFF"/>
                <w:sz w:val="20"/>
                <w:szCs w:val="20"/>
              </w:rPr>
              <w:t xml:space="preserve">Épaisseur</w:t>
            </w:r>
          </w:p>
        </w:tc>
      </w:tr>
      <w:tr>
        <w:tc>
          <w:tcPr>
            <w:tcW w:type="dxa" w:w="2000"/>
          </w:tcPr>
          <w:p>
            <w:r>
              <w:rPr>
                <w:sz w:val="20"/>
                <w:szCs w:val="20"/>
              </w:rPr>
              <w:t xml:space="preserve">Plaque de rue (voie principale)</w:t>
            </w:r>
          </w:p>
        </w:tc>
        <w:tc>
          <w:tcPr>
            <w:tcW w:type="dxa" w:w="2000"/>
          </w:tcPr>
          <w:p>
            <w:r>
              <w:rPr>
                <w:sz w:val="20"/>
                <w:szCs w:val="20"/>
              </w:rPr>
              <w:t xml:space="preserve">500 × 300 mm</w:t>
            </w:r>
          </w:p>
        </w:tc>
        <w:tc>
          <w:tcPr>
            <w:tcW w:type="dxa" w:w="2000"/>
          </w:tcPr>
          <w:p>
            <w:r>
              <w:rPr>
                <w:sz w:val="20"/>
                <w:szCs w:val="20"/>
              </w:rPr>
              <w:t xml:space="preserve">2 mm (alu) ou 1,5 mm (acier émaillé)</w:t>
            </w:r>
          </w:p>
        </w:tc>
      </w:tr>
      <w:tr>
        <w:tc>
          <w:tcPr>
            <w:tcW w:type="dxa" w:w="2000"/>
          </w:tcPr>
          <w:p>
            <w:r>
              <w:rPr>
                <w:sz w:val="20"/>
                <w:szCs w:val="20"/>
              </w:rPr>
              <w:t xml:space="preserve">Plaque de rue (ruelle / venelle)</w:t>
            </w:r>
          </w:p>
        </w:tc>
        <w:tc>
          <w:tcPr>
            <w:tcW w:type="dxa" w:w="2000"/>
          </w:tcPr>
          <w:p>
            <w:r>
              <w:rPr>
                <w:sz w:val="20"/>
                <w:szCs w:val="20"/>
              </w:rPr>
              <w:t xml:space="preserve">400 × 240 mm</w:t>
            </w:r>
          </w:p>
        </w:tc>
        <w:tc>
          <w:tcPr>
            <w:tcW w:type="dxa" w:w="2000"/>
          </w:tcPr>
          <w:p>
            <w:r>
              <w:rPr>
                <w:sz w:val="20"/>
                <w:szCs w:val="20"/>
              </w:rPr>
              <w:t xml:space="preserve">idem</w:t>
            </w:r>
          </w:p>
        </w:tc>
      </w:tr>
      <w:tr>
        <w:tc>
          <w:tcPr>
            <w:tcW w:type="dxa" w:w="2000"/>
          </w:tcPr>
          <w:p>
            <w:r>
              <w:rPr>
                <w:sz w:val="20"/>
                <w:szCs w:val="20"/>
              </w:rPr>
              <w:t xml:space="preserve">Plaque de numéro de bâtiment</w:t>
            </w:r>
          </w:p>
        </w:tc>
        <w:tc>
          <w:tcPr>
            <w:tcW w:type="dxa" w:w="2000"/>
          </w:tcPr>
          <w:p>
            <w:r>
              <w:rPr>
                <w:sz w:val="20"/>
                <w:szCs w:val="20"/>
              </w:rPr>
              <w:t xml:space="preserve">200 × 150 mm</w:t>
            </w:r>
          </w:p>
        </w:tc>
        <w:tc>
          <w:tcPr>
            <w:tcW w:type="dxa" w:w="2000"/>
          </w:tcPr>
          <w:p>
            <w:r>
              <w:rPr>
                <w:sz w:val="20"/>
                <w:szCs w:val="20"/>
              </w:rPr>
              <w:t xml:space="preserve">1,5 à 2 mm</w:t>
            </w:r>
          </w:p>
        </w:tc>
      </w:tr>
    </w:tbl>
    <w:p>
      <w:pPr>
        <w:spacing w:after="200"/>
      </w:pPr>
      <w:r>
        <w:t xml:space="preserve"/>
      </w:r>
    </w:p>
    <w:p>
      <w:pPr>
        <w:spacing w:after="200"/>
      </w:pPr>
      <w:r>
        <w:t xml:space="preserve">Police sans-serif, grasse et géométrique (type Arial Black, Helvetica Bold ou une police signalétique dédiée comme DIN 1451) ; nom de la voie en majuscules ; hauteur des caractères de 60 à 100 mm selon la plaque ; contraste fond/texte d'au moins 4,5:1 ; film rétroréfléchissant de classe 1 sur les plaques de rue. Matériaux recommandés, inchangés par rapport aux phases précédentes : acier émaillé pour les plaques de rue, aluminium laqué anti-UV pour les plaques de numéro de bâtiment, fixation par quatre points d'ancrage avec visserie inox.</w:t>
      </w:r>
    </w:p>
    <w:p>
      <w:pPr>
        <w:pStyle w:val="Heading2"/>
        <w:spacing w:after="160" w:before="320"/>
      </w:pPr>
      <w:r>
        <w:rPr>
          <w:b/>
          <w:bCs/>
        </w:rPr>
        <w:t xml:space="preserve">10.4.1. Caractéristiques techniques du poteau</w:t>
      </w:r>
    </w:p>
    <w:p>
      <w:pPr>
        <w:spacing w:after="200"/>
      </w:pPr>
      <w:r>
        <w:t xml:space="preserve">Les plaques de rue sont montées sur un poteau dédié, dont les caractéristiques suivantes sont proposées. Le schéma ci-dessous illustre l'ensemble des dimensions, ainsi que la hauteur d'installation de la plaque.</w:t>
      </w:r>
    </w:p>
    <w:p>
      <w:pPr>
        <w:spacing w:after="60" w:before="160"/>
        <w:jc w:val="center"/>
      </w:pPr>
      <w:r>
        <w:drawing>
          <wp:inline distT="0" distB="0" distL="0" distR="0">
            <wp:extent cx="3333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257550"/>
                    </a:xfrm>
                    <a:prstGeom prst="rect">
                      <a:avLst/>
                    </a:prstGeom>
                  </pic:spPr>
                </pic:pic>
              </a:graphicData>
            </a:graphic>
          </wp:inline>
        </w:drawing>
      </w:r>
    </w:p>
    <w:p>
      <w:pPr>
        <w:spacing w:after="220"/>
        <w:jc w:val="center"/>
      </w:pPr>
      <w:r>
        <w:rPr>
          <w:i/>
          <w:iCs/>
          <w:color w:val="5C6B7A"/>
          <w:sz w:val="18"/>
          <w:szCs w:val="18"/>
        </w:rPr>
        <w:t xml:space="preserve">Schéma du poteau et de la plaque de rue, avec cotes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0F2D52" w:val="clear"/>
          </w:tcPr>
          <w:p>
            <w:r>
              <w:rPr>
                <w:b/>
                <w:bCs/>
                <w:color w:val="FFFFFF"/>
                <w:sz w:val="20"/>
                <w:szCs w:val="20"/>
              </w:rPr>
              <w:t xml:space="preserve">Caractéristique</w:t>
            </w:r>
          </w:p>
        </w:tc>
        <w:tc>
          <w:tcPr>
            <w:tcW w:type="dxa" w:w="5950"/>
            <w:shd w:fill="0F2D52" w:val="clear"/>
          </w:tcPr>
          <w:p>
            <w:r>
              <w:rPr>
                <w:b/>
                <w:bCs/>
                <w:color w:val="FFFFFF"/>
                <w:sz w:val="20"/>
                <w:szCs w:val="20"/>
              </w:rPr>
              <w:t xml:space="preserve">Spécification proposée</w:t>
            </w:r>
          </w:p>
        </w:tc>
      </w:tr>
      <w:tr>
        <w:tc>
          <w:tcPr>
            <w:tcW w:type="dxa" w:w="2000"/>
          </w:tcPr>
          <w:p>
            <w:r>
              <w:rPr>
                <w:sz w:val="20"/>
                <w:szCs w:val="20"/>
              </w:rPr>
              <w:t xml:space="preserve">Longueur totale du poteau</w:t>
            </w:r>
          </w:p>
        </w:tc>
        <w:tc>
          <w:tcPr>
            <w:tcW w:type="dxa" w:w="2000"/>
          </w:tcPr>
          <w:p>
            <w:r>
              <w:rPr>
                <w:sz w:val="20"/>
                <w:szCs w:val="20"/>
              </w:rPr>
              <w:t xml:space="preserve">3,00 m (tube)</w:t>
            </w:r>
          </w:p>
        </w:tc>
      </w:tr>
      <w:tr>
        <w:tc>
          <w:tcPr>
            <w:tcW w:type="dxa" w:w="2000"/>
          </w:tcPr>
          <w:p>
            <w:r>
              <w:rPr>
                <w:sz w:val="20"/>
                <w:szCs w:val="20"/>
              </w:rPr>
              <w:t xml:space="preserve">Profondeur d'ancrage dans le sol</w:t>
            </w:r>
          </w:p>
        </w:tc>
        <w:tc>
          <w:tcPr>
            <w:tcW w:type="dxa" w:w="2000"/>
          </w:tcPr>
          <w:p>
            <w:r>
              <w:rPr>
                <w:sz w:val="20"/>
                <w:szCs w:val="20"/>
              </w:rPr>
              <w:t xml:space="preserve">0,50 à 0,60 m, dans un massif de béton d'environ 30 × 30 × 50 cm</w:t>
            </w:r>
          </w:p>
        </w:tc>
      </w:tr>
      <w:tr>
        <w:tc>
          <w:tcPr>
            <w:tcW w:type="dxa" w:w="2000"/>
          </w:tcPr>
          <w:p>
            <w:r>
              <w:rPr>
                <w:sz w:val="20"/>
                <w:szCs w:val="20"/>
              </w:rPr>
              <w:t xml:space="preserve">Hauteur utile hors sol</w:t>
            </w:r>
          </w:p>
        </w:tc>
        <w:tc>
          <w:tcPr>
            <w:tcW w:type="dxa" w:w="2000"/>
          </w:tcPr>
          <w:p>
            <w:r>
              <w:rPr>
                <w:sz w:val="20"/>
                <w:szCs w:val="20"/>
              </w:rPr>
              <w:t xml:space="preserve">Environ 2,40 à 2,50 m</w:t>
            </w:r>
          </w:p>
        </w:tc>
      </w:tr>
      <w:tr>
        <w:tc>
          <w:tcPr>
            <w:tcW w:type="dxa" w:w="2000"/>
          </w:tcPr>
          <w:p>
            <w:r>
              <w:rPr>
                <w:sz w:val="20"/>
                <w:szCs w:val="20"/>
              </w:rPr>
              <w:t xml:space="preserve">Hauteur d'installation de la plaque de rue</w:t>
            </w:r>
          </w:p>
        </w:tc>
        <w:tc>
          <w:tcPr>
            <w:tcW w:type="dxa" w:w="2000"/>
          </w:tcPr>
          <w:p>
            <w:r>
              <w:rPr>
                <w:sz w:val="20"/>
                <w:szCs w:val="20"/>
              </w:rPr>
              <w:t xml:space="preserve">2,20 à 2,50 m du sol au centre de la plaque — au-dessus de la portée de la main pour limiter le vandalisme</w:t>
            </w:r>
          </w:p>
        </w:tc>
      </w:tr>
      <w:tr>
        <w:tc>
          <w:tcPr>
            <w:tcW w:type="dxa" w:w="2000"/>
          </w:tcPr>
          <w:p>
            <w:r>
              <w:rPr>
                <w:sz w:val="20"/>
                <w:szCs w:val="20"/>
              </w:rPr>
              <w:t xml:space="preserve">Diamètre du tube</w:t>
            </w:r>
          </w:p>
        </w:tc>
        <w:tc>
          <w:tcPr>
            <w:tcW w:type="dxa" w:w="2000"/>
          </w:tcPr>
          <w:p>
            <w:r>
              <w:rPr>
                <w:sz w:val="20"/>
                <w:szCs w:val="20"/>
              </w:rPr>
              <w:t xml:space="preserve">60 à 89 mm, tube rond en acier galvanisé</w:t>
            </w:r>
          </w:p>
        </w:tc>
      </w:tr>
      <w:tr>
        <w:tc>
          <w:tcPr>
            <w:tcW w:type="dxa" w:w="2000"/>
          </w:tcPr>
          <w:p>
            <w:r>
              <w:rPr>
                <w:sz w:val="20"/>
                <w:szCs w:val="20"/>
              </w:rPr>
              <w:t xml:space="preserve">Matériau du poteau</w:t>
            </w:r>
          </w:p>
        </w:tc>
        <w:tc>
          <w:tcPr>
            <w:tcW w:type="dxa" w:w="2000"/>
          </w:tcPr>
          <w:p>
            <w:r>
              <w:rPr>
                <w:sz w:val="20"/>
                <w:szCs w:val="20"/>
              </w:rPr>
              <w:t xml:space="preserve">Acier galvanisé à chaud, avec couche de fond antirouille et finition de peinture</w:t>
            </w:r>
          </w:p>
        </w:tc>
      </w:tr>
      <w:tr>
        <w:tc>
          <w:tcPr>
            <w:tcW w:type="dxa" w:w="2000"/>
          </w:tcPr>
          <w:p>
            <w:r>
              <w:rPr>
                <w:sz w:val="20"/>
                <w:szCs w:val="20"/>
              </w:rPr>
              <w:t xml:space="preserve">Fixation de la plaque sur le poteau</w:t>
            </w:r>
          </w:p>
        </w:tc>
        <w:tc>
          <w:tcPr>
            <w:tcW w:type="dxa" w:w="2000"/>
          </w:tcPr>
          <w:p>
            <w:r>
              <w:rPr>
                <w:sz w:val="20"/>
                <w:szCs w:val="20"/>
              </w:rPr>
              <w:t xml:space="preserve">Colliers de serrage inox (« colliers atlas ») ou pattes boulonnées, visserie inox à tête inviolable</w:t>
            </w:r>
          </w:p>
        </w:tc>
      </w:tr>
      <w:tr>
        <w:tc>
          <w:tcPr>
            <w:tcW w:type="dxa" w:w="2000"/>
          </w:tcPr>
          <w:p>
            <w:r>
              <w:rPr>
                <w:sz w:val="20"/>
                <w:szCs w:val="20"/>
              </w:rPr>
              <w:t xml:space="preserve">Fixation du poteau au sol</w:t>
            </w:r>
          </w:p>
        </w:tc>
        <w:tc>
          <w:tcPr>
            <w:tcW w:type="dxa" w:w="2000"/>
          </w:tcPr>
          <w:p>
            <w:r>
              <w:rPr>
                <w:sz w:val="20"/>
                <w:szCs w:val="20"/>
              </w:rPr>
              <w:t xml:space="preserve">Scellement direct dans un massif béton coulé sur place (méthode recommandée)</w:t>
            </w:r>
          </w:p>
        </w:tc>
      </w:tr>
    </w:tbl>
    <w:p>
      <w:pPr>
        <w:spacing w:after="200"/>
      </w:pPr>
      <w:r>
        <w:t xml:space="preserve"/>
      </w:r>
    </w:p>
    <w:p>
      <w:pPr>
        <w:spacing w:after="200"/>
      </w:pPr>
      <w:r>
        <w:t xml:space="preserve">La plaque de numéro de bâtiment ne nécessite pas de poteau : elle est fixée directement sur la façade, à une hauteur de 1,50 à 1,80 m du sol, à proximité de l'entrée principale, au moyen de quatre points de vis inox et de chevilles adaptées au matériau du mur.</w:t>
      </w:r>
    </w:p>
    <w:p>
      <w:pPr>
        <w:spacing w:after="200"/>
      </w:pPr>
      <w:r>
        <w:t xml:space="preserve">Le coût de mise en place de chaque poteau se décompose en quatre postes détaillés, sur le même barème que pour Kaloum et Dixinn : fourniture (575 000 GNF), creusement du trou (30 000 GNF), ciment et matériaux du massif d'ancrage (40 000 GNF), main d'œuvre de pose et scellement (35 000 GNF) — soit 680 000 GNF par poteau (≈ 78 $). Pour les 2 100 poteaux estimés à Matam, ce détail représente un coût total d'environ 1,43 milliard de GNF (≈ 163 000 $), déjà inclus dans le total de la section 10.2.</w:t>
      </w:r>
    </w:p>
    <w:p>
      <w:pPr>
        <w:pStyle w:val="Heading1"/>
        <w:spacing w:after="160" w:before="320"/>
      </w:pPr>
      <w:r>
        <w:rPr>
          <w:b/>
          <w:bCs/>
        </w:rPr>
        <w:t xml:space="preserve">11. Bénéfices attendus pour l'État et les populations</w:t>
      </w:r>
    </w:p>
    <w:p>
      <w:pPr>
        <w:pStyle w:val="ListParagraph"/>
        <w:numPr>
          <w:ilvl w:val="0"/>
          <w:numId w:val="2"/>
        </w:numPr>
        <w:spacing w:after="120"/>
      </w:pPr>
      <w:r>
        <w:t xml:space="preserve">Sécurité et secours : localisation précise et rapide pour la Protection civile, les pompiers et les services médicaux d'urgence, sur la commune la plus peuplée de Conakry.</w:t>
      </w:r>
    </w:p>
    <w:p>
      <w:pPr>
        <w:pStyle w:val="ListParagraph"/>
        <w:numPr>
          <w:ilvl w:val="0"/>
          <w:numId w:val="2"/>
        </w:numPr>
        <w:spacing w:after="120"/>
      </w:pPr>
      <w:r>
        <w:t xml:space="preserve">Recettes publiques : amélioration du recensement fiscal et foncier au bénéfice du budget communal de Matam.</w:t>
      </w:r>
    </w:p>
    <w:p>
      <w:pPr>
        <w:pStyle w:val="ListParagraph"/>
        <w:numPr>
          <w:ilvl w:val="0"/>
          <w:numId w:val="2"/>
        </w:numPr>
        <w:spacing w:after="120"/>
      </w:pPr>
      <w:r>
        <w:t xml:space="preserve">Économie numérique : conditions favorables au commerce en ligne, à la livraison à domicile et aux services de mobilité, notamment autour des marchés de Bonfi et Coléah.</w:t>
      </w:r>
    </w:p>
    <w:p>
      <w:pPr>
        <w:pStyle w:val="ListParagraph"/>
        <w:numPr>
          <w:ilvl w:val="0"/>
          <w:numId w:val="2"/>
        </w:numPr>
        <w:spacing w:after="120"/>
      </w:pPr>
      <w:r>
        <w:t xml:space="preserve">Inclusion financière : facilitation de l'accès aux services bancaires et au crédit.</w:t>
      </w:r>
    </w:p>
    <w:p>
      <w:pPr>
        <w:pStyle w:val="ListParagraph"/>
        <w:numPr>
          <w:ilvl w:val="0"/>
          <w:numId w:val="2"/>
        </w:numPr>
        <w:spacing w:after="120"/>
      </w:pPr>
      <w:r>
        <w:t xml:space="preserve">Planification urbaine : base de données fiable pour la gestion de l'urbanisme, des réseaux et des futurs projets d'aménagement, y compris dans les zones non loties.</w:t>
      </w:r>
    </w:p>
    <w:p>
      <w:pPr>
        <w:pStyle w:val="ListParagraph"/>
        <w:numPr>
          <w:ilvl w:val="0"/>
          <w:numId w:val="2"/>
        </w:numPr>
        <w:spacing w:after="120"/>
      </w:pPr>
      <w:r>
        <w:t xml:space="preserve">Image et attractivité : progression continue de la couverture d'adressage de la capitale, avec Matam comme étape clé de par son poids démographique.</w:t>
      </w:r>
    </w:p>
    <w:p>
      <w:pPr>
        <w:pStyle w:val="Heading1"/>
        <w:spacing w:after="160" w:before="320"/>
      </w:pPr>
      <w:r>
        <w:rPr>
          <w:b/>
          <w:bCs/>
        </w:rPr>
        <w:t xml:space="preserve">12. Gouvernance et partenaires potentiels</w:t>
      </w:r>
    </w:p>
    <w:p>
      <w:pPr>
        <w:spacing w:after="200"/>
      </w:pPr>
      <w:r>
        <w:t xml:space="preserve">La réussite de projets comparables dans la région a généralement reposé sur une assistance technique internationale spécialisée, couplée à un fort portage politique national. Des partenaires techniques et financiers tels que la Banque mondiale, la Banque africaine de développement ou des agences de coopération bilatérale ont accompagné des projets similaires et pourraient être sollicités pour le financement et l'expertise technique de la phase Matam.</w:t>
      </w:r>
    </w:p>
    <w:p>
      <w:pPr>
        <w:spacing w:after="200"/>
      </w:pPr>
      <w:r>
        <w:t xml:space="preserve">Le décret ou arrêté interministériel déjà envisagé pour officialiser le cadre juridique du projet (autorité compétente pour nommer les voies, valider la numérotation et maintenir la base de données à jour) couvrirait naturellement cette phase d'extension.</w:t>
      </w:r>
    </w:p>
    <w:p>
      <w:pPr>
        <w:pStyle w:val="Heading1"/>
        <w:spacing w:after="160" w:before="320"/>
      </w:pPr>
      <w:r>
        <w:rPr>
          <w:b/>
          <w:bCs/>
        </w:rPr>
        <w:t xml:space="preserve">13. Recommandation et prochaines étapes</w:t>
      </w:r>
    </w:p>
    <w:p>
      <w:pPr>
        <w:spacing w:after="200"/>
      </w:pPr>
      <w:r>
        <w:t xml:space="preserve">Il est proposé que le Gouvernement de la République de Guinée :</w:t>
      </w:r>
    </w:p>
    <w:p>
      <w:pPr>
        <w:pStyle w:val="ListParagraph"/>
        <w:numPr>
          <w:ilvl w:val="0"/>
          <w:numId w:val="2"/>
        </w:numPr>
        <w:spacing w:after="120"/>
      </w:pPr>
      <w:r>
        <w:t xml:space="preserve">Valide le principe de la phase d'extension du projet national d'adressage à la commune de Matam, après le pilote de Kaloum et l'extension à Dixinn ;</w:t>
      </w:r>
    </w:p>
    <w:p>
      <w:pPr>
        <w:pStyle w:val="ListParagraph"/>
        <w:numPr>
          <w:ilvl w:val="0"/>
          <w:numId w:val="2"/>
        </w:numPr>
        <w:spacing w:after="120"/>
      </w:pPr>
      <w:r>
        <w:t xml:space="preserve">Mandate le comité de pilotage interministériel déjà en place pour affiner le cadrage technique et budgétaire de cette phase ;</w:t>
      </w:r>
    </w:p>
    <w:p>
      <w:pPr>
        <w:pStyle w:val="ListParagraph"/>
        <w:numPr>
          <w:ilvl w:val="0"/>
          <w:numId w:val="2"/>
        </w:numPr>
        <w:spacing w:after="120"/>
      </w:pPr>
      <w:r>
        <w:t xml:space="preserve">Autorise la recherche de partenariats techniques et financiers complémentaires si nécessaire ;</w:t>
      </w:r>
    </w:p>
    <w:p>
      <w:pPr>
        <w:pStyle w:val="ListParagraph"/>
        <w:numPr>
          <w:ilvl w:val="0"/>
          <w:numId w:val="2"/>
        </w:numPr>
        <w:spacing w:after="120"/>
      </w:pPr>
      <w:r>
        <w:t xml:space="preserve">Fixe un calendrier de décision permettant un enchaînement rapide avec la phase Dixinn.</w:t>
      </w:r>
    </w:p>
    <w:p>
      <w:pPr>
        <w:spacing w:after="200"/>
      </w:pPr>
      <w:r>
        <w:t xml:space="preserve">Cette proposition peut servir de base à une note de cadrage plus détaillée, à une étude de faisabilité technique, ou à une présentation orale devant les autorités concernées, selon les besoins.</w:t>
      </w:r>
    </w:p>
    <w:p>
      <w:pPr>
        <w:pStyle w:val="Heading1"/>
        <w:spacing w:after="160" w:before="320"/>
      </w:pPr>
      <w:r>
        <w:rPr>
          <w:b/>
          <w:bCs/>
        </w:rPr>
        <w:t xml:space="preserve">Annexe — Intégration des données à Google Maps</w:t>
      </w:r>
    </w:p>
    <w:p>
      <w:pPr>
        <w:spacing w:after="200"/>
      </w:pPr>
      <w:r>
        <w:t xml:space="preserve">Si Méridien Aménagement &amp; Ingénierie est retenue pour exécuter le projet, la présente annexe décrit la démarche pratique à suivre pour faire apparaître la nouvelle numérotation de Matam sur Google Maps et les services cartographiques associés — reprenant à l'identique la démarche déjà engagée pour Kaloum et Dixinn.</w:t>
      </w:r>
    </w:p>
    <w:p>
      <w:pPr>
        <w:pStyle w:val="Heading2"/>
        <w:spacing w:after="160" w:before="320"/>
      </w:pPr>
      <w:r>
        <w:rPr>
          <w:b/>
          <w:bCs/>
        </w:rPr>
        <w:t xml:space="preserve">A.1. Constituer le jeu de données officiel (préalable)</w:t>
      </w:r>
    </w:p>
    <w:p>
      <w:pPr>
        <w:spacing w:after="200"/>
      </w:pPr>
      <w:r>
        <w:t xml:space="preserve">Une fois la numérotation validée par la mairie de Matam, produire un export structuré de la base SIG : liste des voies (nom, géométrie) et liste des bâtiments (numéro, coordonnées GPS, voie de rattachement), au format GeoJSON ou Shapefile.</w:t>
      </w:r>
    </w:p>
    <w:p>
      <w:pPr>
        <w:pStyle w:val="Heading2"/>
        <w:spacing w:after="160" w:before="320"/>
      </w:pPr>
      <w:r>
        <w:rPr>
          <w:b/>
          <w:bCs/>
        </w:rPr>
        <w:t xml:space="preserve">A.2. Publier sur OpenStreetMap (à engager en premier)</w:t>
      </w:r>
    </w:p>
    <w:p>
      <w:pPr>
        <w:pStyle w:val="ListParagraph"/>
        <w:numPr>
          <w:ilvl w:val="0"/>
          <w:numId w:val="2"/>
        </w:numPr>
        <w:spacing w:after="120"/>
      </w:pPr>
      <w:r>
        <w:t xml:space="preserve">Réutiliser le compte OpenStreetMap organisationnel de Méridien Aménagement &amp; Ingénierie déjà créé pour le pilote de Kaloum.</w:t>
      </w:r>
    </w:p>
    <w:p>
      <w:pPr>
        <w:pStyle w:val="ListParagraph"/>
        <w:numPr>
          <w:ilvl w:val="0"/>
          <w:numId w:val="2"/>
        </w:numPr>
        <w:spacing w:after="120"/>
      </w:pPr>
      <w:r>
        <w:t xml:space="preserve">Contacter la communauté OSM Guinée ou le réseau OSM Afrique de l'Ouest (Humanitarian OpenStreetMap Team) pour un import encadré.</w:t>
      </w:r>
    </w:p>
    <w:p>
      <w:pPr>
        <w:pStyle w:val="ListParagraph"/>
        <w:numPr>
          <w:ilvl w:val="0"/>
          <w:numId w:val="2"/>
        </w:numPr>
        <w:spacing w:after="120"/>
      </w:pPr>
      <w:r>
        <w:t xml:space="preserve">Un import documenté et validé par la communauté locale est généralement intégré en quelques semaines.</w:t>
      </w:r>
    </w:p>
    <w:p>
      <w:pPr>
        <w:pStyle w:val="Heading2"/>
        <w:spacing w:after="160" w:before="320"/>
      </w:pPr>
      <w:r>
        <w:rPr>
          <w:b/>
          <w:bCs/>
        </w:rPr>
        <w:t xml:space="preserve">A.3. Démarche officielle auprès de Google (en parallèle)</w:t>
      </w:r>
    </w:p>
    <w:p>
      <w:pPr>
        <w:spacing w:after="200"/>
      </w:pPr>
      <w:r>
        <w:t xml:space="preserve">Prise de contact institutionnelle avec Google, en tant qu'autorité officielle (ministère ou mairie), pour proposer l'intégration du référentiel d'adressage de Matam via les canaux dédiés aux organismes gouvernementaux, en complément de l'édition communautaire courante sur Google Maps. Une fois la numérotation en vigueur, chaque commerce et entreprise de Matam serait invité à mettre à jour sa fiche Google Business Profile avec sa nouvelle adresse officielle.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Méridien Aménagement &amp; Ingénierie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89d066b09f8e2f15253052afc40bfc7aa589ff.undefined"/><Relationship Id="rId10" Type="http://schemas.openxmlformats.org/officeDocument/2006/relationships/image" Target="media/a911e53e6482ad635e197e27ef02c290ccd4ca49.undefined"/><Relationship Id="rId11" Type="http://schemas.openxmlformats.org/officeDocument/2006/relationships/image" Target="media/fb21b57bde4a070dcffe3a42aec38089973e3179.undefined"/><Relationship Id="rId12" Type="http://schemas.openxmlformats.org/officeDocument/2006/relationships/image" Target="media/8ffd03bf2803402d8d663f637218c66fb5935722.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2026-07-30T12:30:12.718Z</dcterms:created>
  <dcterms:modified xsi:type="dcterms:W3CDTF">2026-07-30T12:30:12.735Z</dcterms:modified>
</cp:coreProperties>
</file>

<file path=docProps/custom.xml><?xml version="1.0" encoding="utf-8"?>
<Properties xmlns="http://schemas.openxmlformats.org/officeDocument/2006/custom-properties" xmlns:vt="http://schemas.openxmlformats.org/officeDocument/2006/docPropsVTypes"/>
</file>