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1809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209800"/>
                    </a:xfrm>
                    <a:prstGeom prst="rect">
                      <a:avLst/>
                    </a:prstGeom>
                  </pic:spPr>
                </pic:pic>
              </a:graphicData>
            </a:graphic>
          </wp:inline>
        </w:drawing>
      </w:r>
    </w:p>
    <w:p>
      <w:pPr>
        <w:spacing w:after="100" w:before="500"/>
        <w:jc w:val="center"/>
      </w:pPr>
      <w:r>
        <w:rPr>
          <w:b/>
          <w:bCs/>
          <w:color w:val="12264D"/>
          <w:sz w:val="36"/>
          <w:szCs w:val="36"/>
        </w:rPr>
        <w:t xml:space="preserve">PLAN D'ÉVACUATION ET DE RÉHABILITATION</w:t>
      </w:r>
    </w:p>
    <w:p>
      <w:pPr>
        <w:spacing w:after="100"/>
        <w:jc w:val="center"/>
      </w:pPr>
      <w:r>
        <w:rPr>
          <w:b/>
          <w:bCs/>
          <w:color w:val="12264D"/>
          <w:sz w:val="36"/>
          <w:szCs w:val="36"/>
        </w:rPr>
        <w:t xml:space="preserve">DE LA DÉCHARGE DE DAR-ES-SALAM</w:t>
      </w:r>
    </w:p>
    <w:p>
      <w:pPr>
        <w:spacing w:after="500" w:before="200"/>
        <w:jc w:val="center"/>
      </w:pPr>
      <w:r>
        <w:rPr>
          <w:b/>
          <w:bCs/>
          <w:color w:val="C9A227"/>
          <w:sz w:val="24"/>
          <w:szCs w:val="24"/>
        </w:rPr>
        <w:t xml:space="preserve">Note de positionnement — Vers le Centre d'Enfouissement Technique de Baritodé</w:t>
      </w:r>
    </w:p>
    <w:p>
      <w:pPr>
        <w:spacing w:after="80" w:before="800"/>
        <w:jc w:val="center"/>
      </w:pPr>
      <w:r>
        <w:rPr>
          <w:b/>
          <w:bCs/>
          <w:color w:val="12264D"/>
          <w:sz w:val="22"/>
          <w:szCs w:val="22"/>
        </w:rPr>
        <w:t xml:space="preserve">Préparée par MÉRIDIEN AMÉNAGEMENT &amp; INGÉNIERIE</w:t>
      </w:r>
    </w:p>
    <w:p>
      <w:pPr>
        <w:jc w:val="center"/>
      </w:pPr>
      <w:r>
        <w:rPr>
          <w:i/>
          <w:iCs/>
          <w:color w:val="C9A227"/>
          <w:sz w:val="20"/>
          <w:szCs w:val="20"/>
        </w:rPr>
        <w:t xml:space="preserve">« Bâtir les repères de demain »</w:t>
      </w:r>
    </w:p>
    <w:p>
      <w:pPr>
        <w:spacing w:before="800"/>
        <w:jc w:val="center"/>
      </w:pPr>
      <w:r>
        <w:rPr>
          <w:color w:val="555555"/>
          <w:sz w:val="20"/>
          <w:szCs w:val="20"/>
        </w:rPr>
        <w:t xml:space="preserve">Conakry, République de Guinée — Août 2026</w:t>
      </w:r>
    </w:p>
    <w:p>
      <w:pPr>
        <w:spacing w:before="60"/>
        <w:jc w:val="center"/>
      </w:pPr>
      <w:r>
        <w:rPr>
          <w:i/>
          <w:iCs/>
          <w:color w:val="555555"/>
          <w:sz w:val="18"/>
          <w:szCs w:val="18"/>
        </w:rPr>
        <w:t xml:space="preserve">Document de travail — note de positionnement</w:t>
      </w:r>
    </w:p>
    <w:p>
      <w:r>
        <w:br w:type="page"/>
      </w:r>
    </w:p>
    <w:p>
      <w:pPr>
        <w:sectPr>
          <w:pgSz w:w="11906" w:h="16838" w:orient="portrait"/>
          <w:pgMar w:top="1440" w:right="1440" w:bottom="1440" w:left="1440" w:header="708" w:footer="708" w:gutter="0"/>
          <w:pgNumType/>
          <w:docGrid w:linePitch="360"/>
        </w:sectPr>
      </w:pPr>
    </w:p>
    <w:p>
      <w:pPr>
        <w:pStyle w:val="Heading1"/>
        <w:pBdr>
          <w:bottom w:val="single" w:color="C9A227" w:sz="12" w:space="4"/>
        </w:pBdr>
        <w:spacing w:after="200" w:before="400"/>
      </w:pPr>
      <w:r>
        <w:rPr>
          <w:b/>
          <w:bCs/>
          <w:color w:val="12264D"/>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A227" w:sz="12" w:space="4"/>
        </w:pBdr>
        <w:spacing w:after="200" w:before="400"/>
      </w:pPr>
      <w:r>
        <w:rPr>
          <w:b/>
          <w:bCs/>
          <w:color w:val="12264D"/>
        </w:rPr>
        <w:t xml:space="preserve">1. Contexte et urgence</w:t>
      </w:r>
    </w:p>
    <w:p>
      <w:pPr>
        <w:spacing w:after="160" w:line="300"/>
        <w:jc w:val="both"/>
      </w:pPr>
      <w:r>
        <w:rPr>
          <w:sz w:val="21"/>
          <w:szCs w:val="21"/>
        </w:rPr>
        <w:t xml:space="preserve">Dans la nuit du 22 au 23 août 2026, un éboulement s'est produit sur la décharge de Dar-es-Salam, dans la commune de Gbessia — une partie de la montagne d'ordures s'est effondrée sur des habitations de fortune installées en contrebas. Le bilan officiel fait état de 30 morts et d'une quinzaine de blessés, une majorité issue d'une même famille. Ce drame survient neuf ans presque jour pour jour après un premier éboulement meurtrier survenu le 22 août 2017 sur ce même site. Les autorités ont depuis relogé 358 sinistrés.</w:t>
      </w:r>
    </w:p>
    <w:p>
      <w:pPr>
        <w:spacing w:after="160" w:line="300"/>
        <w:jc w:val="both"/>
      </w:pPr>
      <w:r>
        <w:rPr>
          <w:sz w:val="21"/>
          <w:szCs w:val="21"/>
        </w:rPr>
        <w:t xml:space="preserve">Ce second drame a fait basculer un dossier resté bloqué depuis près de quarante ans. Dès le 18 août 2026 — trois jours avant le drame — le ministre de l'Assainissement, de l'Hydraulique et des Hydrocarbures, Aboubacar Camara, avait annoncé l'entrée dans la phase concrète de fermeture du site. Le gouvernement a depuis qualifié cette fermeture d'irréversible : le Premier ministre, plusieurs ministres et la gouvernance de Conakry se sont rendus sur place, et les travaux de libération et de sécurisation des emprises ont démarré dès le 18-20 août 2026, sous l'autorité du ministère de l'Urbanisme, de l'Habitat et de l'Aménagement du Territoire (MUHAT-RDSE).</w:t>
      </w:r>
    </w:p>
    <w:p>
      <w:pPr>
        <w:spacing w:after="160" w:line="300"/>
        <w:jc w:val="both"/>
      </w:pPr>
      <w:r>
        <w:rPr>
          <w:sz w:val="21"/>
          <w:szCs w:val="21"/>
        </w:rPr>
        <w:t xml:space="preserve">C'est dans ce contexte, à la fois tragique et politiquement mobilisé, que Méridien Aménagement &amp; Ingénierie propose la présente note : un cadre technique pour accompagner l'évacuation des déchets de Dar-es-Salam vers le nouveau site de Baritodé et la réhabilitation du site actuel — au moment précis où l'État a besoin d'un appui technique pour transformer une décision politique urgente en plan d'exécution réaliste.</w:t>
      </w:r>
    </w:p>
    <w:p>
      <w:pPr>
        <w:pStyle w:val="Heading1"/>
        <w:pBdr>
          <w:bottom w:val="single" w:color="C9A227" w:sz="12" w:space="4"/>
        </w:pBdr>
        <w:spacing w:after="200" w:before="400"/>
      </w:pPr>
      <w:r>
        <w:rPr>
          <w:b/>
          <w:bCs/>
          <w:color w:val="12264D"/>
        </w:rPr>
        <w:t xml:space="preserve">2. Diagnostic du site actuel</w:t>
      </w:r>
    </w:p>
    <w:p>
      <w:pPr>
        <w:spacing w:after="160" w:line="300"/>
        <w:jc w:val="both"/>
      </w:pPr>
      <w:r>
        <w:rPr>
          <w:sz w:val="21"/>
          <w:szCs w:val="21"/>
        </w:rPr>
        <w:t xml:space="preserve">La décharge de Dar-es-Salam — que les riverains appellent aussi « la Minière » ou « Concasseur » — reçoit les ordures de Conakry depuis environ quarante ans, en plein cœur de la zone urbaine (Gbessia/Ratoma, à proximité de Hamdallaye). Le site est aujourd'hui saturé et déborde, avec un volume accumulé estimé à environ 4 millions de tonnes de déchets. Deux éboulements meurtriers en neuf ans (2017, 2026) témoignent d'une instabilité géotechnique structurelle du massif de déchets, aggravée par les pluies de l'hivernage.</w:t>
      </w:r>
    </w:p>
    <w:p>
      <w:pPr>
        <w:spacing w:after="160" w:line="300"/>
        <w:jc w:val="both"/>
      </w:pPr>
      <w:r>
        <w:rPr>
          <w:sz w:val="21"/>
          <w:szCs w:val="21"/>
        </w:rPr>
        <w:t xml:space="preserve">Le site fait également vivre une économie informelle significative : des familles entières dépendent de la récupération de matières recyclables (plastiques notamment, revendus à un recycleur situé à Gbessia) pour leur subsistance. Toute fermeture qui ignorerait cette réalité sociale créerait une crise nouvelle en résolvant l'ancienne — un point que les autorités elles-mêmes ont reconnu en engageant, en parallèle de la fermeture, une démarche de rencontre avec les riverains et les travailleurs du site.</w:t>
      </w:r>
    </w:p>
    <w:p>
      <w:pPr>
        <w:pStyle w:val="Heading1"/>
        <w:pBdr>
          <w:bottom w:val="single" w:color="C9A227" w:sz="12" w:space="4"/>
        </w:pBdr>
        <w:spacing w:after="200" w:before="400"/>
      </w:pPr>
      <w:r>
        <w:rPr>
          <w:b/>
          <w:bCs/>
          <w:color w:val="12264D"/>
        </w:rPr>
        <w:t xml:space="preserve">3. La solution retenue : le Centre d'Enfouissement Technique de Baritodé</w:t>
      </w:r>
    </w:p>
    <w:p>
      <w:pPr>
        <w:spacing w:after="160" w:line="300"/>
        <w:jc w:val="both"/>
      </w:pPr>
      <w:r>
        <w:rPr>
          <w:sz w:val="21"/>
          <w:szCs w:val="21"/>
        </w:rPr>
        <w:t xml:space="preserve">Le site destiné à remplacer Dar-es-Salam est situé à Baritodé, dans la commune rurale de Kouria (préfecture de Coyah), à environ trente kilomètres de Conakry. Un décret présidentiel du 13 avril 2026 a déclassé 148,7 hectares de la forêt classée du Mont Kakoulima au profit de l'Agence Nationale de l'Assainissement et de la Salubrité Publique (ANASP), pour y construire un Centre d'Enfouissement Technique (CET) moderne ainsi qu'un centre de transfert attenant.</w:t>
      </w:r>
    </w:p>
    <w:p>
      <w:pPr>
        <w:spacing w:after="160" w:line="300"/>
        <w:jc w:val="both"/>
      </w:pPr>
      <w:r>
        <w:rPr>
          <w:sz w:val="21"/>
          <w:szCs w:val="21"/>
        </w:rPr>
        <w:t xml:space="preserve">Le financement — 70 millions d'euros, dont 20 millions de l'Union européenne et 50 millions de l'Agence Française de Développement (AFD) — est déjà sécurisé. Le projet, porté par l'ANASP, couvre deux composantes : la construction du CET et d'un centre de transfert, l'aménagement des voies d'accès, la valorisation du biogaz en électricité et l'acquisition de matériel roulant (composante C1) ; et le renforcement des capacités institutionnelles pérennes de gestion des déchets (composante C2). Les travaux de terrain progressent, selon les points d'étape du ministère de l'Assainissement de juillet 2026.</w:t>
      </w:r>
    </w:p>
    <w:p>
      <w:pPr>
        <w:spacing w:after="200" w:before="100"/>
      </w:pPr>
      <w:r>
        <w:rPr>
          <w:i/>
          <w:iCs/>
          <w:color w:val="990000"/>
          <w:sz w:val="18"/>
          <w:szCs w:val="18"/>
        </w:rPr>
        <w:t xml:space="preserve">Le CET est un centre d'enfouissement technique — une infrastructure de stockage définitif normée (bassins de lixiviat, zone tampon, contrôle environnemental) — et non une unité de traitement au sens de valorisation matière. La seule valorisation prévue à ce stade est énergétique, via la captation du biogaz. Toute option de tri, compostage ou recyclage supplémentaire reste, à la date de rédaction, à proposer plutôt qu'actée.</w:t>
      </w:r>
    </w:p>
    <w:p>
      <w:pPr>
        <w:pStyle w:val="Heading1"/>
        <w:pBdr>
          <w:bottom w:val="single" w:color="C9A227" w:sz="12" w:space="4"/>
        </w:pBdr>
        <w:spacing w:after="200" w:before="400"/>
      </w:pPr>
      <w:r>
        <w:rPr>
          <w:b/>
          <w:bCs/>
          <w:color w:val="12264D"/>
        </w:rPr>
        <w:t xml:space="preserve">4. Le nœud opérationnel : le maillon manquant du transfert</w:t>
      </w:r>
    </w:p>
    <w:p>
      <w:pPr>
        <w:spacing w:after="160" w:line="300"/>
        <w:jc w:val="both"/>
      </w:pPr>
      <w:r>
        <w:rPr>
          <w:sz w:val="21"/>
          <w:szCs w:val="21"/>
        </w:rPr>
        <w:t xml:space="preserve">Le ministre Aboubacar Camara a lui-même identifié publiquement le vrai défi du projet : la distance. Une commune comme Kaloum, qui ne dispose aujourd'hui que de trois camions, devrait multiplier sa flotte pour acheminer ses déchets jusqu'à Kouria, à trente kilomètres, sur des routes déjà congestionnées. Un commentateur guinéen spécialisé sur la salubrité publique, Cellou Kansala Diallo (ancien conseiller communal, président de la commission environnement de Ratoma), a formulé cette même alerte dès le lendemain du drame : le maillage de centres de transfert intermédiaires — permettant de masser les déchets avant leur transport final vers Kouria plutôt que de multiplier les allers-retours depuis chaque quartier — reste, selon lui, « encore incomplet ».</w:t>
      </w:r>
    </w:p>
    <w:p>
      <w:pPr>
        <w:spacing w:after="160" w:line="300"/>
        <w:jc w:val="both"/>
      </w:pPr>
      <w:r>
        <w:rPr>
          <w:sz w:val="21"/>
          <w:szCs w:val="21"/>
        </w:rPr>
        <w:t xml:space="preserve">Ce diagnostic distingue deux métiers que la précipitation politique risque de confondre : la pré-collecte (sortir les ordures des concessions vers des points de regroupement de quartier) et le transfert (masser ces volumes et les acheminer sur de longues distances vers le site de traitement final). Le premier peut être assuré par de petites entreprises locales ; le second exige une flotte lourde, du carburant, de la maintenance et une coordination logistique qui, structurellement, relève de la puissance publique et non de PME sous-capitalisées équipées de tricycles ou de pick-up.</w:t>
      </w:r>
    </w:p>
    <w:p>
      <w:pPr>
        <w:spacing w:after="200" w:before="100"/>
      </w:pPr>
      <w:r>
        <w:rPr>
          <w:i/>
          <w:iCs/>
          <w:color w:val="990000"/>
          <w:sz w:val="18"/>
          <w:szCs w:val="18"/>
        </w:rPr>
        <w:t xml:space="preserve">Cette analyse invite à la prudence sur le positionnement de Méridien : la bonne opportunité n'est probablement pas d'opérer soi-même une flotte de transfert — un métier capitalistique hors de portée d'une PME à ce stade — mais d'apporter l'ingénierie de conception de ce maillage : localisation des centres de transfert, dimensionnement, montage contractuel entre communes et ANASP.</w:t>
      </w:r>
    </w:p>
    <w:p>
      <w:pPr>
        <w:pStyle w:val="Heading1"/>
        <w:pBdr>
          <w:bottom w:val="single" w:color="C9A227" w:sz="12" w:space="4"/>
        </w:pBdr>
        <w:spacing w:after="200" w:before="400"/>
      </w:pPr>
      <w:r>
        <w:rPr>
          <w:b/>
          <w:bCs/>
          <w:color w:val="12264D"/>
        </w:rPr>
        <w:t xml:space="preserve">5. Vision et objectifs du plan proposé</w:t>
      </w:r>
    </w:p>
    <w:p>
      <w:pPr>
        <w:pStyle w:val="ListParagraph"/>
        <w:numPr>
          <w:ilvl w:val="0"/>
          <w:numId w:val="1"/>
        </w:numPr>
        <w:spacing w:after="90"/>
      </w:pPr>
      <w:r>
        <w:rPr>
          <w:sz w:val="21"/>
          <w:szCs w:val="21"/>
        </w:rPr>
        <w:t xml:space="preserve">Sécuriser et fermer le site de Dar-es-Salam sans nouvelle perte humaine, en priorité absolue sur tout autre objectif ;</w:t>
      </w:r>
    </w:p>
    <w:p>
      <w:pPr>
        <w:pStyle w:val="ListParagraph"/>
        <w:numPr>
          <w:ilvl w:val="0"/>
          <w:numId w:val="1"/>
        </w:numPr>
        <w:spacing w:after="90"/>
      </w:pPr>
      <w:r>
        <w:rPr>
          <w:sz w:val="21"/>
          <w:szCs w:val="21"/>
        </w:rPr>
        <w:t xml:space="preserve">Concevoir un maillage de centres de transfert entre les communes de Conakry et le CET de Baritodé, dimensionné pour éviter le scénario redouté par les observateurs — des PME communales dépassées, un transfert qui échoue, et une réapparition de dépôts sauvages dispersés dans les quartiers ;</w:t>
      </w:r>
    </w:p>
    <w:p>
      <w:pPr>
        <w:pStyle w:val="ListParagraph"/>
        <w:numPr>
          <w:ilvl w:val="0"/>
          <w:numId w:val="1"/>
        </w:numPr>
        <w:spacing w:after="90"/>
      </w:pPr>
      <w:r>
        <w:rPr>
          <w:sz w:val="21"/>
          <w:szCs w:val="21"/>
        </w:rPr>
        <w:t xml:space="preserve">Réhabiliter le site de Dar-es-Salam en espace vert, sur le modèle de l'ancienne décharge d'Akouédo à Abidjan, explicitement cité par les autorités guinéennes comme référence ;</w:t>
      </w:r>
    </w:p>
    <w:p>
      <w:pPr>
        <w:pStyle w:val="ListParagraph"/>
        <w:numPr>
          <w:ilvl w:val="0"/>
          <w:numId w:val="1"/>
        </w:numPr>
        <w:spacing w:after="90"/>
      </w:pPr>
      <w:r>
        <w:rPr>
          <w:sz w:val="21"/>
          <w:szCs w:val="21"/>
        </w:rPr>
        <w:t xml:space="preserve">Traiter le volet social — récupérateurs informels et sinistrés relogés — comme une condition de réussite du projet, pas comme un dommage collatéral géré après coup.</w:t>
      </w:r>
    </w:p>
    <w:p>
      <w:pPr>
        <w:pStyle w:val="Heading1"/>
        <w:pBdr>
          <w:bottom w:val="single" w:color="C9A227" w:sz="12" w:space="4"/>
        </w:pBdr>
        <w:spacing w:after="200" w:before="400"/>
      </w:pPr>
      <w:r>
        <w:rPr>
          <w:b/>
          <w:bCs/>
          <w:color w:val="12264D"/>
        </w:rPr>
        <w:t xml:space="preserve">6. Approche technique proposée</w:t>
      </w:r>
    </w:p>
    <w:p>
      <w:pPr>
        <w:pStyle w:val="Heading2"/>
        <w:spacing w:after="150" w:before="300"/>
      </w:pPr>
      <w:r>
        <w:rPr>
          <w:b/>
          <w:bCs/>
          <w:color w:val="12264D"/>
        </w:rPr>
        <w:t xml:space="preserve">6.1 Fermeture et réhabilitation du site de Dar-es-Salam</w:t>
      </w:r>
    </w:p>
    <w:p>
      <w:pPr>
        <w:spacing w:after="160" w:line="300"/>
        <w:jc w:val="both"/>
      </w:pPr>
      <w:r>
        <w:rPr>
          <w:sz w:val="21"/>
          <w:szCs w:val="21"/>
        </w:rPr>
        <w:t xml:space="preserve">Couverture et végétalisation du massif de déchets stabilisé, captage et traitement des lixiviats et du biogaz résiduel, surveillance géotechnique renforcée pendant toute la phase de démobilisation (le risque d'éboulement ne disparaît pas le jour de la fermeture officielle), puis aménagement paysager progressif vers un espace vert public, sur le modèle d'Akouédo à Abidjan cité par les autorités elles-mêmes.</w:t>
      </w:r>
    </w:p>
    <w:p>
      <w:pPr>
        <w:pStyle w:val="Heading2"/>
        <w:spacing w:after="150" w:before="300"/>
      </w:pPr>
      <w:r>
        <w:rPr>
          <w:b/>
          <w:bCs/>
          <w:color w:val="12264D"/>
        </w:rPr>
        <w:t xml:space="preserve">6.2 Conception du maillage de centres de transfert</w:t>
      </w:r>
    </w:p>
    <w:p>
      <w:pPr>
        <w:spacing w:after="160" w:line="300"/>
        <w:jc w:val="both"/>
      </w:pPr>
      <w:r>
        <w:rPr>
          <w:sz w:val="21"/>
          <w:szCs w:val="21"/>
        </w:rPr>
        <w:t xml:space="preserve">Identification des sites de transfert intermédiaires par commune ou groupe de communes, dimensionnés selon les volumes réels de déchets et la distance à Baritodé ; définition des standards techniques (aire de compaction, pont-bascule, gestion des eaux de ruissellement) ; modélisation des rotations de flotte nécessaires pour chaque scénario de volume.</w:t>
      </w:r>
    </w:p>
    <w:p>
      <w:pPr>
        <w:pStyle w:val="Heading2"/>
        <w:spacing w:after="150" w:before="300"/>
      </w:pPr>
      <w:r>
        <w:rPr>
          <w:b/>
          <w:bCs/>
          <w:color w:val="12264D"/>
        </w:rPr>
        <w:t xml:space="preserve">6.3 Modèle de gestion différencié pré-collecte / transfert</w:t>
      </w:r>
    </w:p>
    <w:p>
      <w:pPr>
        <w:spacing w:after="160" w:line="300"/>
        <w:jc w:val="both"/>
      </w:pPr>
      <w:r>
        <w:rPr>
          <w:sz w:val="21"/>
          <w:szCs w:val="21"/>
        </w:rPr>
        <w:t xml:space="preserve">Formalisation contractuelle distincte pour les deux métiers identifiés en section 4 : contrats de pré-collecte communale avec des PME locales (poursuite du modèle actuel, à consolider), et gestion du transfert longue distance directement par l'ANASP ou par un opérateur dédié disposant d'une flotte lourde et d'une trésorerie adaptée — en cohérence avec l'acquisition de matériel roulant déjà prévue dans le financement UE/AFD.</w:t>
      </w:r>
    </w:p>
    <w:p>
      <w:pPr>
        <w:pStyle w:val="Heading2"/>
        <w:spacing w:after="150" w:before="300"/>
      </w:pPr>
      <w:r>
        <w:rPr>
          <w:b/>
          <w:bCs/>
          <w:color w:val="12264D"/>
        </w:rPr>
        <w:t xml:space="preserve">6.4 Volet social</w:t>
      </w:r>
    </w:p>
    <w:p>
      <w:pPr>
        <w:spacing w:after="160" w:line="300"/>
        <w:jc w:val="both"/>
      </w:pPr>
      <w:r>
        <w:rPr>
          <w:sz w:val="21"/>
          <w:szCs w:val="21"/>
        </w:rPr>
        <w:t xml:space="preserve">Recensement contradictoire des récupérateurs informels du site actuel, en lien avec le mécanisme déjà engagé de rencontre avec les riverains ; étude de faisabilité d'un poste de tri formalisé sur le futur centre de transfert ou sur le CET lui-même, permettant de convertir une partie de cette activité informelle en emploi structuré plutôt que de la faire disparaître.</w:t>
      </w:r>
    </w:p>
    <w:p>
      <w:pPr>
        <w:pStyle w:val="Heading1"/>
        <w:pBdr>
          <w:bottom w:val="single" w:color="C9A227" w:sz="12" w:space="4"/>
        </w:pBdr>
        <w:spacing w:after="200" w:before="400"/>
      </w:pPr>
      <w:r>
        <w:rPr>
          <w:b/>
          <w:bCs/>
          <w:color w:val="12264D"/>
        </w:rPr>
        <w:t xml:space="preserve">7. Phasage proposé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00"/>
      </w:tblGrid>
      <w:tr>
        <w:trPr>
          <w:tblHeader/>
        </w:trPr>
        <w:tc>
          <w:tcPr>
            <w:tcW w:type="dxa" w:w="2600"/>
            <w:shd w:fill="12264D" w:val="clear"/>
            <w:tcMar>
              <w:top w:type="dxa" w:w="80"/>
              <w:left w:type="dxa" w:w="100"/>
              <w:bottom w:type="dxa" w:w="80"/>
              <w:right w:type="dxa" w:w="100"/>
            </w:tcMar>
            <w:vAlign w:val="center"/>
          </w:tcPr>
          <w:p>
            <w:r>
              <w:rPr>
                <w:b/>
                <w:bCs/>
                <w:color w:val="FFFFFF"/>
                <w:sz w:val="18"/>
                <w:szCs w:val="18"/>
              </w:rPr>
              <w:t xml:space="preserve">Phase</w:t>
            </w:r>
          </w:p>
        </w:tc>
        <w:tc>
          <w:tcPr>
            <w:tcW w:type="dxa" w:w="1400"/>
            <w:shd w:fill="12264D" w:val="clear"/>
            <w:tcMar>
              <w:top w:type="dxa" w:w="80"/>
              <w:left w:type="dxa" w:w="100"/>
              <w:bottom w:type="dxa" w:w="80"/>
              <w:right w:type="dxa" w:w="100"/>
            </w:tcMar>
            <w:vAlign w:val="center"/>
          </w:tcPr>
          <w:p>
            <w:r>
              <w:rPr>
                <w:b/>
                <w:bCs/>
                <w:color w:val="FFFFFF"/>
                <w:sz w:val="18"/>
                <w:szCs w:val="18"/>
              </w:rPr>
              <w:t xml:space="preserve">Horizon</w:t>
            </w:r>
          </w:p>
        </w:tc>
        <w:tc>
          <w:tcPr>
            <w:tcW w:type="dxa" w:w="5300"/>
            <w:shd w:fill="12264D" w:val="clear"/>
            <w:tcMar>
              <w:top w:type="dxa" w:w="80"/>
              <w:left w:type="dxa" w:w="100"/>
              <w:bottom w:type="dxa" w:w="80"/>
              <w:right w:type="dxa" w:w="100"/>
            </w:tcMar>
            <w:vAlign w:val="center"/>
          </w:tcPr>
          <w:p>
            <w:r>
              <w:rPr>
                <w:b/>
                <w:bCs/>
                <w:color w:val="FFFFFF"/>
                <w:sz w:val="18"/>
                <w:szCs w:val="18"/>
              </w:rPr>
              <w:t xml:space="preserve">Contenu</w:t>
            </w:r>
          </w:p>
        </w:tc>
      </w:tr>
      <w:tr>
        <w:tc>
          <w:tcPr>
            <w:tcW w:type="dxa" w:w="2600"/>
            <w:tcMar>
              <w:top w:type="dxa" w:w="70"/>
              <w:left w:type="dxa" w:w="100"/>
              <w:bottom w:type="dxa" w:w="70"/>
              <w:right w:type="dxa" w:w="100"/>
            </w:tcMar>
            <w:vAlign w:val="center"/>
          </w:tcPr>
          <w:p>
            <w:pPr>
              <w:jc w:val="left"/>
            </w:pPr>
            <w:r>
              <w:rPr>
                <w:b w:val="false"/>
                <w:bCs w:val="false"/>
                <w:sz w:val="18"/>
                <w:szCs w:val="18"/>
              </w:rPr>
              <w:t xml:space="preserve">Phase 1 — Sécurisation d'urgence</w:t>
            </w:r>
          </w:p>
        </w:tc>
        <w:tc>
          <w:tcPr>
            <w:tcW w:type="dxa" w:w="1400"/>
            <w:tcMar>
              <w:top w:type="dxa" w:w="70"/>
              <w:left w:type="dxa" w:w="100"/>
              <w:bottom w:type="dxa" w:w="70"/>
              <w:right w:type="dxa" w:w="100"/>
            </w:tcMar>
            <w:vAlign w:val="center"/>
          </w:tcPr>
          <w:p>
            <w:pPr>
              <w:jc w:val="center"/>
            </w:pPr>
            <w:r>
              <w:rPr>
                <w:b w:val="false"/>
                <w:bCs w:val="false"/>
                <w:sz w:val="18"/>
                <w:szCs w:val="18"/>
              </w:rPr>
              <w:t xml:space="preserve">0-3 mois</w:t>
            </w:r>
          </w:p>
        </w:tc>
        <w:tc>
          <w:tcPr>
            <w:tcW w:type="dxa" w:w="5300"/>
            <w:tcMar>
              <w:top w:type="dxa" w:w="70"/>
              <w:left w:type="dxa" w:w="100"/>
              <w:bottom w:type="dxa" w:w="70"/>
              <w:right w:type="dxa" w:w="100"/>
            </w:tcMar>
            <w:vAlign w:val="center"/>
          </w:tcPr>
          <w:p>
            <w:pPr>
              <w:jc w:val="center"/>
            </w:pPr>
            <w:r>
              <w:rPr>
                <w:b w:val="false"/>
                <w:bCs w:val="false"/>
                <w:sz w:val="18"/>
                <w:szCs w:val="18"/>
              </w:rPr>
              <w:t xml:space="preserve">Fin des opérations de secours, stabilisation géotechnique du massif, surveillance renforcée, poursuite du relogement des sinistrés</w:t>
            </w:r>
          </w:p>
        </w:tc>
      </w:tr>
      <w:tr>
        <w:tc>
          <w:tcPr>
            <w:tcW w:type="dxa" w:w="2600"/>
            <w:shd w:fill="F5F6F8" w:val="clear"/>
            <w:tcMar>
              <w:top w:type="dxa" w:w="70"/>
              <w:left w:type="dxa" w:w="100"/>
              <w:bottom w:type="dxa" w:w="70"/>
              <w:right w:type="dxa" w:w="100"/>
            </w:tcMar>
            <w:vAlign w:val="center"/>
          </w:tcPr>
          <w:p>
            <w:pPr>
              <w:jc w:val="left"/>
            </w:pPr>
            <w:r>
              <w:rPr>
                <w:b w:val="false"/>
                <w:bCs w:val="false"/>
                <w:sz w:val="18"/>
                <w:szCs w:val="18"/>
              </w:rPr>
              <w:t xml:space="preserve">Phase 2 — Bascule opérationnelle vers Baritodé</w:t>
            </w:r>
          </w:p>
        </w:tc>
        <w:tc>
          <w:tcPr>
            <w:tcW w:type="dxa" w:w="1400"/>
            <w:shd w:fill="F5F6F8" w:val="clear"/>
            <w:tcMar>
              <w:top w:type="dxa" w:w="70"/>
              <w:left w:type="dxa" w:w="100"/>
              <w:bottom w:type="dxa" w:w="70"/>
              <w:right w:type="dxa" w:w="100"/>
            </w:tcMar>
            <w:vAlign w:val="center"/>
          </w:tcPr>
          <w:p>
            <w:pPr>
              <w:jc w:val="center"/>
            </w:pPr>
            <w:r>
              <w:rPr>
                <w:b w:val="false"/>
                <w:bCs w:val="false"/>
                <w:sz w:val="18"/>
                <w:szCs w:val="18"/>
              </w:rPr>
              <w:t xml:space="preserve">3-9 mois</w:t>
            </w:r>
          </w:p>
        </w:tc>
        <w:tc>
          <w:tcPr>
            <w:tcW w:type="dxa" w:w="5300"/>
            <w:shd w:fill="F5F6F8" w:val="clear"/>
            <w:tcMar>
              <w:top w:type="dxa" w:w="70"/>
              <w:left w:type="dxa" w:w="100"/>
              <w:bottom w:type="dxa" w:w="70"/>
              <w:right w:type="dxa" w:w="100"/>
            </w:tcMar>
            <w:vAlign w:val="center"/>
          </w:tcPr>
          <w:p>
            <w:pPr>
              <w:jc w:val="center"/>
            </w:pPr>
            <w:r>
              <w:rPr>
                <w:b w:val="false"/>
                <w:bCs w:val="false"/>
                <w:sz w:val="18"/>
                <w:szCs w:val="18"/>
              </w:rPr>
              <w:t xml:space="preserve">Mise en service du CET et du centre de transfert de Baritodé, déploiement du maillage de transfert par commune, fermeture progressive de Dar-es-Salam</w:t>
            </w:r>
          </w:p>
        </w:tc>
      </w:tr>
      <w:tr>
        <w:tc>
          <w:tcPr>
            <w:tcW w:type="dxa" w:w="2600"/>
            <w:tcMar>
              <w:top w:type="dxa" w:w="70"/>
              <w:left w:type="dxa" w:w="100"/>
              <w:bottom w:type="dxa" w:w="70"/>
              <w:right w:type="dxa" w:w="100"/>
            </w:tcMar>
            <w:vAlign w:val="center"/>
          </w:tcPr>
          <w:p>
            <w:pPr>
              <w:jc w:val="left"/>
            </w:pPr>
            <w:r>
              <w:rPr>
                <w:b w:val="false"/>
                <w:bCs w:val="false"/>
                <w:sz w:val="18"/>
                <w:szCs w:val="18"/>
              </w:rPr>
              <w:t xml:space="preserve">Phase 3 — Réhabilitation et reconversion</w:t>
            </w:r>
          </w:p>
        </w:tc>
        <w:tc>
          <w:tcPr>
            <w:tcW w:type="dxa" w:w="1400"/>
            <w:tcMar>
              <w:top w:type="dxa" w:w="70"/>
              <w:left w:type="dxa" w:w="100"/>
              <w:bottom w:type="dxa" w:w="70"/>
              <w:right w:type="dxa" w:w="100"/>
            </w:tcMar>
            <w:vAlign w:val="center"/>
          </w:tcPr>
          <w:p>
            <w:pPr>
              <w:jc w:val="center"/>
            </w:pPr>
            <w:r>
              <w:rPr>
                <w:b w:val="false"/>
                <w:bCs w:val="false"/>
                <w:sz w:val="18"/>
                <w:szCs w:val="18"/>
              </w:rPr>
              <w:t xml:space="preserve">9-36 mois</w:t>
            </w:r>
          </w:p>
        </w:tc>
        <w:tc>
          <w:tcPr>
            <w:tcW w:type="dxa" w:w="5300"/>
            <w:tcMar>
              <w:top w:type="dxa" w:w="70"/>
              <w:left w:type="dxa" w:w="100"/>
              <w:bottom w:type="dxa" w:w="70"/>
              <w:right w:type="dxa" w:w="100"/>
            </w:tcMar>
            <w:vAlign w:val="center"/>
          </w:tcPr>
          <w:p>
            <w:pPr>
              <w:jc w:val="center"/>
            </w:pPr>
            <w:r>
              <w:rPr>
                <w:b w:val="false"/>
                <w:bCs w:val="false"/>
                <w:sz w:val="18"/>
                <w:szCs w:val="18"/>
              </w:rPr>
              <w:t xml:space="preserve">Couverture et végétalisation du site, aménagement en espace vert, suivi environnemental de long terme</w:t>
            </w:r>
          </w:p>
        </w:tc>
      </w:tr>
    </w:tbl>
    <w:p>
      <w:pPr>
        <w:pStyle w:val="Heading1"/>
        <w:pBdr>
          <w:bottom w:val="single" w:color="C9A227" w:sz="12" w:space="4"/>
        </w:pBdr>
        <w:spacing w:after="200" w:before="400"/>
      </w:pPr>
      <w:r>
        <w:rPr>
          <w:b/>
          <w:bCs/>
          <w:color w:val="12264D"/>
        </w:rPr>
        <w:t xml:space="preserve">8. Montage institutionnel et financier</w:t>
      </w:r>
    </w:p>
    <w:p>
      <w:pPr>
        <w:spacing w:after="160" w:line="300"/>
        <w:jc w:val="both"/>
      </w:pPr>
      <w:r>
        <w:rPr>
          <w:sz w:val="21"/>
          <w:szCs w:val="21"/>
        </w:rPr>
        <w:t xml:space="preserve">Le financement du CET et du centre de transfert de Baritodé (70 M€, UE et AFD) est acquis et couvre déjà, sur le papier, la construction des infrastructures, les voies d'accès, la valorisation du biogaz et l'acquisition de matériel roulant. Ce qui reste ouvert, et qui constitue l'espace d'intervention de Méridien, c'est la conception détaillée du maillage de transfert et son montage contractuel avec les communes — un travail d'ingénierie et d'AMO, pas de financement supplémentaire à rechercher pour l'essentiel.</w:t>
      </w:r>
    </w:p>
    <w:p>
      <w:pPr>
        <w:pStyle w:val="ListParagraph"/>
        <w:numPr>
          <w:ilvl w:val="0"/>
          <w:numId w:val="1"/>
        </w:numPr>
        <w:spacing w:after="90"/>
      </w:pPr>
      <w:r>
        <w:rPr>
          <w:sz w:val="21"/>
          <w:szCs w:val="21"/>
        </w:rPr>
        <w:t xml:space="preserve">Maîtrise d'ouvrage : ANASP, sous l'autorité du ministère de l'Assainissement, de l'Hydraulique et des Hydrocarbures, en lien avec le MUHAT-RDSE pour la réhabilitation du site de Dar-es-Salam ;</w:t>
      </w:r>
    </w:p>
    <w:p>
      <w:pPr>
        <w:pStyle w:val="ListParagraph"/>
        <w:numPr>
          <w:ilvl w:val="0"/>
          <w:numId w:val="1"/>
        </w:numPr>
        <w:spacing w:after="90"/>
      </w:pPr>
      <w:r>
        <w:rPr>
          <w:sz w:val="21"/>
          <w:szCs w:val="21"/>
        </w:rPr>
        <w:t xml:space="preserve">Partenaires financiers déjà engagés : Union européenne (20 M€), Agence Française de Développement (50 M€) ;</w:t>
      </w:r>
    </w:p>
    <w:p>
      <w:pPr>
        <w:pStyle w:val="ListParagraph"/>
        <w:numPr>
          <w:ilvl w:val="0"/>
          <w:numId w:val="1"/>
        </w:numPr>
        <w:spacing w:after="90"/>
      </w:pPr>
      <w:r>
        <w:rPr>
          <w:sz w:val="21"/>
          <w:szCs w:val="21"/>
        </w:rPr>
        <w:t xml:space="preserve">Échelon communal : à mobiliser spécifiquement sur la pré-collecte, avec un besoin de clarification contractuelle sur la limite exacte de leur responsabilité (jusqu'au centre de transfert, pas au-delà).</w:t>
      </w:r>
    </w:p>
    <w:p>
      <w:pPr>
        <w:pStyle w:val="Heading1"/>
        <w:pBdr>
          <w:bottom w:val="single" w:color="C9A227" w:sz="12" w:space="4"/>
        </w:pBdr>
        <w:spacing w:after="200" w:before="400"/>
      </w:pPr>
      <w:r>
        <w:rPr>
          <w:b/>
          <w:bCs/>
          <w:color w:val="12264D"/>
        </w:rPr>
        <w:t xml:space="preserve">9. Rôle proposé de Méridien Aménagement &amp; Ingénierie</w:t>
      </w:r>
    </w:p>
    <w:p>
      <w:pPr>
        <w:pStyle w:val="ListParagraph"/>
        <w:numPr>
          <w:ilvl w:val="0"/>
          <w:numId w:val="1"/>
        </w:numPr>
        <w:spacing w:after="90"/>
      </w:pPr>
      <w:r>
        <w:rPr>
          <w:sz w:val="21"/>
          <w:szCs w:val="21"/>
        </w:rPr>
        <w:t xml:space="preserve">Étude de dimensionnement et de localisation du maillage de centres de transfert, en appui à l'ANASP ;</w:t>
      </w:r>
    </w:p>
    <w:p>
      <w:pPr>
        <w:pStyle w:val="ListParagraph"/>
        <w:numPr>
          <w:ilvl w:val="0"/>
          <w:numId w:val="1"/>
        </w:numPr>
        <w:spacing w:after="90"/>
      </w:pPr>
      <w:r>
        <w:rPr>
          <w:sz w:val="21"/>
          <w:szCs w:val="21"/>
        </w:rPr>
        <w:t xml:space="preserve">Appui à la structuration contractuelle entre communes, ANASP et opérateur de transfert, sur la base de la distinction pré-collecte/transfert établie en section 4 ;</w:t>
      </w:r>
    </w:p>
    <w:p>
      <w:pPr>
        <w:pStyle w:val="ListParagraph"/>
        <w:numPr>
          <w:ilvl w:val="0"/>
          <w:numId w:val="1"/>
        </w:numPr>
        <w:spacing w:after="90"/>
      </w:pPr>
      <w:r>
        <w:rPr>
          <w:sz w:val="21"/>
          <w:szCs w:val="21"/>
        </w:rPr>
        <w:t xml:space="preserve">Conception paysagère et suivi technique de la réhabilitation du site de Dar-es-Salam en espace vert ;</w:t>
      </w:r>
    </w:p>
    <w:p>
      <w:pPr>
        <w:pStyle w:val="ListParagraph"/>
        <w:numPr>
          <w:ilvl w:val="0"/>
          <w:numId w:val="1"/>
        </w:numPr>
        <w:spacing w:after="90"/>
      </w:pPr>
      <w:r>
        <w:rPr>
          <w:sz w:val="21"/>
          <w:szCs w:val="21"/>
        </w:rPr>
        <w:t xml:space="preserve">Appui au recensement et à la structuration du volet social (récupérateurs informels).</w:t>
      </w:r>
    </w:p>
    <w:p>
      <w:pPr>
        <w:spacing w:after="200" w:before="100"/>
      </w:pPr>
      <w:r>
        <w:rPr>
          <w:i/>
          <w:iCs/>
          <w:color w:val="990000"/>
          <w:sz w:val="18"/>
          <w:szCs w:val="18"/>
        </w:rPr>
        <w:t xml:space="preserve">Conformément à l'analyse de la section 4, Méridien ne se positionne pas comme opérateur de la flotte de transfert elle-même — un métier capitalistique distinct — mais comme bureau d'études et d'AMO sur la conception du système.</w:t>
      </w:r>
    </w:p>
    <w:p>
      <w:pPr>
        <w:pStyle w:val="Heading1"/>
        <w:pBdr>
          <w:bottom w:val="single" w:color="C9A227" w:sz="12" w:space="4"/>
        </w:pBdr>
        <w:spacing w:after="200" w:before="400"/>
      </w:pPr>
      <w:r>
        <w:rPr>
          <w:b/>
          <w:bCs/>
          <w:color w:val="12264D"/>
        </w:rPr>
        <w:t xml:space="preserve">10. Facteurs de risque</w:t>
      </w:r>
    </w:p>
    <w:p>
      <w:pPr>
        <w:pStyle w:val="ListParagraph"/>
        <w:numPr>
          <w:ilvl w:val="0"/>
          <w:numId w:val="1"/>
        </w:numPr>
        <w:spacing w:after="90"/>
      </w:pPr>
      <w:r>
        <w:rPr>
          <w:sz w:val="21"/>
          <w:szCs w:val="21"/>
        </w:rPr>
        <w:t xml:space="preserve">Risque humain immédiat : le site reste actif et instable tant que la fermeture n'est pas effective ; toute intervention d'étude sur site doit être subordonnée aux consignes de sécurité des autorités en charge des opérations de secours et de sécurisation ;</w:t>
      </w:r>
    </w:p>
    <w:p>
      <w:pPr>
        <w:pStyle w:val="ListParagraph"/>
        <w:numPr>
          <w:ilvl w:val="0"/>
          <w:numId w:val="1"/>
        </w:numPr>
        <w:spacing w:after="90"/>
      </w:pPr>
      <w:r>
        <w:rPr>
          <w:sz w:val="21"/>
          <w:szCs w:val="21"/>
        </w:rPr>
        <w:t xml:space="preserve">Risque d'échec du transfert : si le maillage de centres de transfert n'est pas opérationnel avant la fermeture effective de Dar-es-Salam, le risque documenté par les observateurs est une multiplication de dépôts sauvages dans les quartiers plutôt qu'une résolution du problème ;</w:t>
      </w:r>
    </w:p>
    <w:p>
      <w:pPr>
        <w:pStyle w:val="ListParagraph"/>
        <w:numPr>
          <w:ilvl w:val="0"/>
          <w:numId w:val="1"/>
        </w:numPr>
        <w:spacing w:after="90"/>
      </w:pPr>
      <w:r>
        <w:rPr>
          <w:sz w:val="21"/>
          <w:szCs w:val="21"/>
        </w:rPr>
        <w:t xml:space="preserve">Risque social : toute fermeture qui ne traite pas la reconversion des récupérateurs informels et le relogement des sinistrés de façon crédible peut générer des tensions locales ;</w:t>
      </w:r>
    </w:p>
    <w:p>
      <w:pPr>
        <w:pStyle w:val="ListParagraph"/>
        <w:numPr>
          <w:ilvl w:val="0"/>
          <w:numId w:val="1"/>
        </w:numPr>
        <w:spacing w:after="90"/>
      </w:pPr>
      <w:r>
        <w:rPr>
          <w:sz w:val="21"/>
          <w:szCs w:val="21"/>
        </w:rPr>
        <w:t xml:space="preserve">Risque de calendrier : la pression politique pour une fermeture rapide, documentée par la presse locale, peut entrer en tension avec le temps réellement nécessaire pour sécuriser un maillage logistique fiable.</w:t>
      </w:r>
    </w:p>
    <w:p>
      <w:pPr>
        <w:pStyle w:val="Heading1"/>
        <w:pBdr>
          <w:bottom w:val="single" w:color="C9A227" w:sz="12" w:space="4"/>
        </w:pBdr>
        <w:spacing w:after="200" w:before="400"/>
      </w:pPr>
      <w:r>
        <w:rPr>
          <w:b/>
          <w:bCs/>
          <w:color w:val="12264D"/>
        </w:rPr>
        <w:t xml:space="preserve">11. Prochaines étapes recommandées</w:t>
      </w:r>
    </w:p>
    <w:p>
      <w:pPr>
        <w:pStyle w:val="ListParagraph"/>
        <w:numPr>
          <w:ilvl w:val="0"/>
          <w:numId w:val="1"/>
        </w:numPr>
        <w:spacing w:after="90"/>
      </w:pPr>
      <w:r>
        <w:rPr>
          <w:sz w:val="21"/>
          <w:szCs w:val="21"/>
        </w:rPr>
        <w:t xml:space="preserve">1. Prise de contact avec l'ANASP pour présenter cette note et proposer l'appui de Méridien sur la conception du maillage de centres de transfert ;</w:t>
      </w:r>
    </w:p>
    <w:p>
      <w:pPr>
        <w:pStyle w:val="ListParagraph"/>
        <w:numPr>
          <w:ilvl w:val="0"/>
          <w:numId w:val="1"/>
        </w:numPr>
        <w:spacing w:after="90"/>
      </w:pPr>
      <w:r>
        <w:rPr>
          <w:sz w:val="21"/>
          <w:szCs w:val="21"/>
        </w:rPr>
        <w:t xml:space="preserve">2. Recensement des volumes de déchets par commune et des distances réelles aux points de transfert envisageables ;</w:t>
      </w:r>
    </w:p>
    <w:p>
      <w:pPr>
        <w:pStyle w:val="ListParagraph"/>
        <w:numPr>
          <w:ilvl w:val="0"/>
          <w:numId w:val="1"/>
        </w:numPr>
        <w:spacing w:after="90"/>
      </w:pPr>
      <w:r>
        <w:rPr>
          <w:sz w:val="21"/>
          <w:szCs w:val="21"/>
        </w:rPr>
        <w:t xml:space="preserve">3. Étude de faisabilité paysagère pour la reconversion du site de Dar-es-Salam ;</w:t>
      </w:r>
    </w:p>
    <w:p>
      <w:pPr>
        <w:pStyle w:val="ListParagraph"/>
        <w:numPr>
          <w:ilvl w:val="0"/>
          <w:numId w:val="1"/>
        </w:numPr>
        <w:spacing w:after="90"/>
      </w:pPr>
      <w:r>
        <w:rPr>
          <w:sz w:val="21"/>
          <w:szCs w:val="21"/>
        </w:rPr>
        <w:t xml:space="preserve">4. Coordination avec le mécanisme déjà engagé de rencontre avec les riverains et les récupérateurs informels, pour ne pas dupliquer un travail social déjà amorcé par les autorités.</w:t>
      </w:r>
    </w:p>
    <w:p>
      <w:pPr>
        <w:spacing w:before="300"/>
      </w:pPr>
    </w:p>
    <w:p>
      <w:pPr>
        <w:spacing w:after="160" w:line="300"/>
        <w:jc w:val="both"/>
      </w:pPr>
      <w:r>
        <w:rPr>
          <w:sz w:val="21"/>
          <w:szCs w:val="21"/>
        </w:rPr>
        <w:t xml:space="preserve">Cette note est écrite dans un contexte encore marqué par un drame récent. Elle vise à transformer l'urgence politique légitime en un plan d'exécution réaliste, en s'appuyant sur le diagnostic déjà posé publiquement par le gouvernement lui-même et par des observateurs indépendants — plutôt qu'à ajouter une proposition de plus à un dossier qui en a connu beaucoup depuis quarante ans.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900"/>
          <w:tcBorders>
            <w:top w:val="none" w:color="FFFFFF" w:sz="0"/>
            <w:left w:val="none" w:color="FFFFFF" w:sz="0"/>
            <w:bottom w:val="none" w:color="FFFFFF" w:sz="0"/>
            <w:right w:val="none" w:color="FFFFFF" w:sz="0"/>
          </w:tcBorders>
          <w:vAlign w:val="center"/>
        </w:tcPr>
        <w:p>
          <w:r>
            <w:drawing>
              <wp:inline distT="0" distB="0" distL="0" distR="0">
                <wp:extent cx="3238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400050"/>
                        </a:xfrm>
                        <a:prstGeom prst="rect">
                          <a:avLst/>
                        </a:prstGeom>
                      </pic:spPr>
                    </pic:pic>
                  </a:graphicData>
                </a:graphic>
              </wp:inline>
            </w:drawing>
          </w:r>
        </w:p>
      </w:tc>
      <w:tc>
        <w:tcPr>
          <w:tcW w:type="dxa" w:w="8450"/>
          <w:tcBorders>
            <w:top w:val="none" w:color="FFFFFF" w:sz="0"/>
            <w:left w:val="none" w:color="FFFFFF" w:sz="0"/>
            <w:bottom w:val="none" w:color="FFFFFF" w:sz="0"/>
            <w:right w:val="none" w:color="FFFFFF" w:sz="0"/>
          </w:tcBorders>
          <w:vAlign w:val="center"/>
        </w:tcPr>
        <w:p>
          <w:pPr>
            <w:jc w:val="right"/>
          </w:pPr>
          <w:r>
            <w:rPr>
              <w:i/>
              <w:iCs/>
              <w:color w:val="555555"/>
              <w:sz w:val="14"/>
              <w:szCs w:val="14"/>
            </w:rPr>
            <w:t xml:space="preserve">Méridien Aménagement &amp; Ingénierie — Plan d'évacuation, décharge de Dar-es-Salam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4e5358cf46bfb7e8a59212d8a68b3d454376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4e5358cf46bfb7e8a59212d8a68b3d454376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2026-08-29T06:10:36.819Z</dcterms:created>
  <dcterms:modified xsi:type="dcterms:W3CDTF">2026-08-29T06:10:36.819Z</dcterms:modified>
</cp:coreProperties>
</file>

<file path=docProps/custom.xml><?xml version="1.0" encoding="utf-8"?>
<Properties xmlns="http://schemas.openxmlformats.org/officeDocument/2006/custom-properties" xmlns:vt="http://schemas.openxmlformats.org/officeDocument/2006/docPropsVTypes"/>
</file>