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MXXXXXXXXXXXX@GMAIL.COM</w:t>
        <w:br/>
        <w:t>(416) XXX-XXXX</w:t>
        <w:br/>
        <w:t>TORONTO, ONTARIO</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 dedicated and detail-oriented software developer with approximately 9 years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experience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working with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Google Cloud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Google Cloud Professional Cloud DevOps Engineer — In progress</w:t>
        <w:br/>
        <w:tab/>
        <w:t>* Certified Kubernetes Administrator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SQLite</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 Determine vehicle VIN failover.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+1 (416) 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+1 (416) 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+1 (416) XXX-XXXX</w:t>
        <w:br/>
        <w:br/>
      </w:r>
      <w:r>
        <w:rPr>
          <w:rFonts w:eastAsia="Arial" w:cs="Arial" w:ascii="Arial" w:hAnsi="Arial"/>
          <w:b/>
          <w:bCs/>
          <w:color w:val="418AC9"/>
          <w:sz w:val="16"/>
          <w:szCs w:val="16"/>
        </w:rPr>
        <w:t>Rajiv Chatterjee</w:t>
      </w:r>
      <w:r>
        <w:rPr>
          <w:rFonts w:eastAsia="Arial" w:cs="Arial" w:ascii="Arial" w:hAnsi="Arial"/>
          <w:sz w:val="14"/>
          <w:szCs w:val="14"/>
        </w:rPr>
        <w:br/>
      </w:r>
      <w:r>
        <w:rPr>
          <w:rFonts w:eastAsia="Arial" w:cs="Arial" w:ascii="Arial" w:hAnsi="Arial"/>
          <w:sz w:val="12"/>
          <w:szCs w:val="12"/>
        </w:rPr>
        <w:t xml:space="preserve">CEO and Co-Founder of Triyo </w:t>
        <w:br/>
        <w:t>Previously CEO at Readportal</w:t>
        <w:br/>
        <w:t>+1 (647) 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Previously Product Manager at Readyportal</w:t>
        <w:br/>
        <w:t>+1 (647) XXX-XXXX</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Lukas Arent</w:t>
      </w:r>
      <w:r>
        <w:rPr>
          <w:rFonts w:eastAsia="Arial" w:cs="Arial" w:ascii="Arial" w:hAnsi="Arial"/>
          <w:sz w:val="14"/>
          <w:szCs w:val="14"/>
        </w:rPr>
        <w:br/>
      </w:r>
      <w:r>
        <w:rPr>
          <w:rFonts w:eastAsia="Arial" w:cs="Arial" w:ascii="Arial" w:hAnsi="Arial"/>
          <w:sz w:val="12"/>
          <w:szCs w:val="12"/>
        </w:rPr>
        <w:t>Previously Director of Business at Readyportal and Triyo</w:t>
        <w:br/>
        <w:t>Previously Program Manager at Cyclone Manufacturing</w:t>
        <w:br/>
        <w:t>+1 (647) XXX-XXXX</w:t>
        <w:br/>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1386</TotalTime>
  <Application>LibreOffice/7.6.1.2$Linux_X86_64 LibreOffice_project/60$Build-2</Application>
  <AppVersion>15.0000</AppVersion>
  <Pages>4</Pages>
  <Words>2958</Words>
  <Characters>17546</Characters>
  <CharactersWithSpaces>20501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2024-01-28T00:32:48Z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file>