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Times New Roman" w:hAnsi="Times New Roman"/>
          <w:b/>
          <w:i w:val="0"/>
          <w:sz w:val="24"/>
        </w:rPr>
        <w:t xml:space="preserve">Figure 1: </w:t>
      </w:r>
      <w:r>
        <w:rPr>
          <w:rFonts w:ascii="Times New Roman" w:hAnsi="Times New Roman"/>
          <w:b w:val="0"/>
          <w:i/>
          <w:sz w:val="24"/>
        </w:rPr>
        <w:t>Home Prices and Nitrate Contamination Notices in California, 2000–2024</w:t>
      </w:r>
    </w:p>
    <w:p>
      <w:pPr>
        <w:jc w:val="center"/>
      </w:pPr>
      <w:r>
        <w:drawing>
          <wp:inline xmlns:a="http://schemas.openxmlformats.org/drawingml/2006/main" xmlns:pic="http://schemas.openxmlformats.org/drawingml/2006/picture">
            <wp:extent cx="5760720" cy="3456432"/>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760720" cy="3456432"/>
                    </a:xfrm>
                    <a:prstGeom prst="rect"/>
                  </pic:spPr>
                </pic:pic>
              </a:graphicData>
            </a:graphic>
          </wp:inline>
        </w:drawing>
      </w:r>
    </w:p>
    <w:p>
      <w:pPr>
        <w:spacing w:before="120"/>
        <w:jc w:val="both"/>
      </w:pPr>
      <w:r>
        <w:rPr>
          <w:rFonts w:ascii="Times New Roman" w:hAnsi="Times New Roman"/>
          <w:b/>
          <w:i w:val="0"/>
          <w:sz w:val="18"/>
        </w:rPr>
        <w:t xml:space="preserve">NOTES: </w:t>
      </w:r>
      <w:r>
        <w:rPr>
          <w:rFonts w:ascii="Times New Roman" w:hAnsi="Times New Roman"/>
          <w:b w:val="0"/>
          <w:i w:val="0"/>
          <w:sz w:val="18"/>
        </w:rPr>
        <w:t>Average annual home prices across community water systems (CWS) are plotted in black (left axis, in $1,000s). The number of CWS issuing a public notification (PN) for nitrate contamination in each year is plotted in orange (right axis). Home prices are measured using the Zillow Home Value Index (ZHVI), aggregated from ZIP codes to CWS service areas.</w:t>
      </w:r>
    </w:p>
    <w:p>
      <w:pPr>
        <w:spacing w:before="80"/>
      </w:pPr>
      <w:r>
        <w:rPr>
          <w:rFonts w:ascii="Times New Roman" w:hAnsi="Times New Roman"/>
          <w:b w:val="0"/>
          <w:i w:val="0"/>
          <w:sz w:val="18"/>
        </w:rPr>
        <w:t>Source: Zillow Research (ZHVI); California State Water Resources Control Board; EPA Safe Drinking Water Information System (SDWIS).</w:t>
      </w:r>
    </w:p>
    <w:p>
      <w:r>
        <w:br w:type="page"/>
      </w:r>
    </w:p>
    <w:p>
      <w:pPr>
        <w:spacing w:after="200"/>
      </w:pPr>
      <w:r>
        <w:rPr>
          <w:rFonts w:ascii="Times New Roman" w:hAnsi="Times New Roman"/>
          <w:b/>
          <w:i w:val="0"/>
          <w:sz w:val="24"/>
        </w:rPr>
        <w:t xml:space="preserve">Table 1: </w:t>
      </w:r>
      <w:r>
        <w:rPr>
          <w:rFonts w:ascii="Times New Roman" w:hAnsi="Times New Roman"/>
          <w:b w:val="0"/>
          <w:i/>
          <w:sz w:val="24"/>
        </w:rPr>
        <w:t>Summary Statistics for California Community Water Systems, 2000–2024</w:t>
      </w:r>
    </w:p>
    <w:tbl>
      <w:tblPr>
        <w:jc w:val="center"/>
        <w:tblLayout w:type="fixed"/>
        <w:tblLook w:firstColumn="1" w:firstRow="1" w:lastColumn="0" w:lastRow="0" w:noHBand="0" w:noVBand="1" w:val="04A0"/>
        <w:tblLayout w:type="fixed"/>
        <w:tblW w:w="9360" w:type="dxa"/>
      </w:tblPr>
      <w:tblGrid>
        <w:gridCol w:w="5328"/>
        <w:gridCol w:w="1344"/>
        <w:gridCol w:w="1344"/>
        <w:gridCol w:w="1344"/>
      </w:tblGrid>
      <w:tr>
        <w:tc>
          <w:tcPr>
            <w:tcW w:type="dxa" w:w="5328"/>
            <w:tcBorders>
              <w:top w:val="single" w:sz="12" w:space="0" w:color="auto"/>
              <w:left w:val="nil"/>
              <w:bottom w:val="single" w:sz="4" w:space="0" w:color="auto"/>
              <w:right w:val="nil"/>
            </w:tcBorders>
          </w:tcPr>
          <w:p>
            <w:pPr>
              <w:spacing w:before="40" w:after="40"/>
              <w:jc w:val="left"/>
            </w:pPr>
            <w:r>
              <w:rPr>
                <w:rFonts w:ascii="Times New Roman" w:hAnsi="Times New Roman"/>
                <w:b/>
                <w:i w:val="0"/>
                <w:sz w:val="22"/>
              </w:rPr>
              <w:t>Variable</w:t>
            </w:r>
          </w:p>
        </w:tc>
        <w:tc>
          <w:tcPr>
            <w:tcW w:type="dxa" w:w="1344"/>
            <w:tcBorders>
              <w:top w:val="single" w:sz="12" w:space="0" w:color="auto"/>
              <w:left w:val="nil"/>
              <w:bottom w:val="single" w:sz="4" w:space="0" w:color="auto"/>
              <w:right w:val="nil"/>
            </w:tcBorders>
          </w:tcPr>
          <w:p>
            <w:pPr>
              <w:spacing w:before="40" w:after="40"/>
              <w:jc w:val="center"/>
            </w:pPr>
            <w:r>
              <w:rPr>
                <w:rFonts w:ascii="Times New Roman" w:hAnsi="Times New Roman"/>
                <w:b w:val="0"/>
                <w:i w:val="0"/>
                <w:sz w:val="22"/>
              </w:rPr>
              <w:t>Mean</w:t>
            </w:r>
          </w:p>
        </w:tc>
        <w:tc>
          <w:tcPr>
            <w:tcW w:type="dxa" w:w="1344"/>
            <w:tcBorders>
              <w:top w:val="single" w:sz="12" w:space="0" w:color="auto"/>
              <w:left w:val="nil"/>
              <w:bottom w:val="single" w:sz="4" w:space="0" w:color="auto"/>
              <w:right w:val="nil"/>
            </w:tcBorders>
          </w:tcPr>
          <w:p>
            <w:pPr>
              <w:spacing w:before="40" w:after="40"/>
              <w:jc w:val="center"/>
            </w:pPr>
            <w:r>
              <w:rPr>
                <w:rFonts w:ascii="Times New Roman" w:hAnsi="Times New Roman"/>
                <w:b w:val="0"/>
                <w:i w:val="0"/>
                <w:sz w:val="22"/>
              </w:rPr>
              <w:t>10th Pct.</w:t>
            </w:r>
          </w:p>
        </w:tc>
        <w:tc>
          <w:tcPr>
            <w:tcW w:type="dxa" w:w="1344"/>
            <w:tcBorders>
              <w:top w:val="single" w:sz="12" w:space="0" w:color="auto"/>
              <w:left w:val="nil"/>
              <w:bottom w:val="single" w:sz="4" w:space="0" w:color="auto"/>
              <w:right w:val="nil"/>
            </w:tcBorders>
          </w:tcPr>
          <w:p>
            <w:pPr>
              <w:spacing w:before="40" w:after="40"/>
              <w:jc w:val="center"/>
            </w:pPr>
            <w:r>
              <w:rPr>
                <w:rFonts w:ascii="Times New Roman" w:hAnsi="Times New Roman"/>
                <w:b w:val="0"/>
                <w:i w:val="0"/>
                <w:sz w:val="22"/>
              </w:rPr>
              <w:t>90th Pct.</w:t>
            </w:r>
          </w:p>
        </w:tc>
      </w:tr>
      <w:tr>
        <w:tc>
          <w:tcPr>
            <w:tcW w:type="dxa" w:w="5328"/>
            <w:tcBorders>
              <w:top w:val="nil"/>
              <w:left w:val="nil"/>
              <w:bottom w:val="nil"/>
              <w:right w:val="nil"/>
            </w:tcBorders>
          </w:tcPr>
          <w:p>
            <w:pPr>
              <w:spacing w:before="40" w:after="40"/>
              <w:jc w:val="left"/>
            </w:pPr>
            <w:r>
              <w:rPr>
                <w:rFonts w:ascii="Times New Roman" w:hAnsi="Times New Roman"/>
                <w:b w:val="0"/>
                <w:i w:val="0"/>
                <w:sz w:val="22"/>
              </w:rPr>
              <w:t>Home Value ($)</w:t>
            </w:r>
          </w:p>
        </w:tc>
        <w:tc>
          <w:tcPr>
            <w:tcW w:type="dxa" w:w="1344"/>
            <w:tcBorders>
              <w:top w:val="nil"/>
              <w:left w:val="nil"/>
              <w:bottom w:val="nil"/>
              <w:right w:val="nil"/>
            </w:tcBorders>
          </w:tcPr>
          <w:p>
            <w:pPr>
              <w:spacing w:before="40" w:after="40"/>
              <w:jc w:val="center"/>
            </w:pPr>
            <w:r>
              <w:rPr>
                <w:rFonts w:ascii="Times New Roman" w:hAnsi="Times New Roman"/>
                <w:b w:val="0"/>
                <w:i w:val="0"/>
                <w:sz w:val="22"/>
              </w:rPr>
              <w:t>392,001</w:t>
            </w:r>
          </w:p>
        </w:tc>
        <w:tc>
          <w:tcPr>
            <w:tcW w:type="dxa" w:w="1344"/>
            <w:tcBorders>
              <w:top w:val="nil"/>
              <w:left w:val="nil"/>
              <w:bottom w:val="nil"/>
              <w:right w:val="nil"/>
            </w:tcBorders>
          </w:tcPr>
          <w:p>
            <w:pPr>
              <w:spacing w:before="40" w:after="40"/>
              <w:jc w:val="center"/>
            </w:pPr>
            <w:r>
              <w:rPr>
                <w:rFonts w:ascii="Times New Roman" w:hAnsi="Times New Roman"/>
                <w:b w:val="0"/>
                <w:i w:val="0"/>
                <w:sz w:val="22"/>
              </w:rPr>
              <w:t>126,371</w:t>
            </w:r>
          </w:p>
        </w:tc>
        <w:tc>
          <w:tcPr>
            <w:tcW w:type="dxa" w:w="1344"/>
            <w:tcBorders>
              <w:top w:val="nil"/>
              <w:left w:val="nil"/>
              <w:bottom w:val="nil"/>
              <w:right w:val="nil"/>
            </w:tcBorders>
          </w:tcPr>
          <w:p>
            <w:pPr>
              <w:spacing w:before="40" w:after="40"/>
              <w:jc w:val="center"/>
            </w:pPr>
            <w:r>
              <w:rPr>
                <w:rFonts w:ascii="Times New Roman" w:hAnsi="Times New Roman"/>
                <w:b w:val="0"/>
                <w:i w:val="0"/>
                <w:sz w:val="22"/>
              </w:rPr>
              <w:t>725,803</w:t>
            </w:r>
          </w:p>
        </w:tc>
      </w:tr>
      <w:tr>
        <w:tc>
          <w:tcPr>
            <w:tcW w:type="dxa" w:w="5328"/>
            <w:tcBorders>
              <w:top w:val="nil"/>
              <w:left w:val="nil"/>
              <w:bottom w:val="nil"/>
              <w:right w:val="nil"/>
            </w:tcBorders>
          </w:tcPr>
          <w:p>
            <w:pPr>
              <w:spacing w:before="40" w:after="40"/>
              <w:jc w:val="left"/>
            </w:pPr>
            <w:r>
              <w:rPr>
                <w:rFonts w:ascii="Times New Roman" w:hAnsi="Times New Roman"/>
                <w:b w:val="0"/>
                <w:i w:val="0"/>
                <w:sz w:val="22"/>
              </w:rPr>
              <w:t>Nitrate Notification Issued in Year (0/1)</w:t>
            </w:r>
          </w:p>
        </w:tc>
        <w:tc>
          <w:tcPr>
            <w:tcW w:type="dxa" w:w="1344"/>
            <w:tcBorders>
              <w:top w:val="nil"/>
              <w:left w:val="nil"/>
              <w:bottom w:val="nil"/>
              <w:right w:val="nil"/>
            </w:tcBorders>
          </w:tcPr>
          <w:p>
            <w:pPr>
              <w:spacing w:before="40" w:after="40"/>
              <w:jc w:val="center"/>
            </w:pPr>
            <w:r>
              <w:rPr>
                <w:rFonts w:ascii="Times New Roman" w:hAnsi="Times New Roman"/>
                <w:b w:val="0"/>
                <w:i w:val="0"/>
                <w:sz w:val="22"/>
              </w:rPr>
              <w:t>0.03</w:t>
            </w:r>
          </w:p>
        </w:tc>
        <w:tc>
          <w:tcPr>
            <w:tcW w:type="dxa" w:w="1344"/>
            <w:tcBorders>
              <w:top w:val="nil"/>
              <w:left w:val="nil"/>
              <w:bottom w:val="nil"/>
              <w:right w:val="nil"/>
            </w:tcBorders>
          </w:tcPr>
          <w:p>
            <w:pPr>
              <w:spacing w:before="40" w:after="40"/>
              <w:jc w:val="center"/>
            </w:pPr>
            <w:r>
              <w:rPr>
                <w:rFonts w:ascii="Times New Roman" w:hAnsi="Times New Roman"/>
                <w:b w:val="0"/>
                <w:i w:val="0"/>
                <w:sz w:val="22"/>
              </w:rPr>
              <w:t>0.00</w:t>
            </w:r>
          </w:p>
        </w:tc>
        <w:tc>
          <w:tcPr>
            <w:tcW w:type="dxa" w:w="1344"/>
            <w:tcBorders>
              <w:top w:val="nil"/>
              <w:left w:val="nil"/>
              <w:bottom w:val="nil"/>
              <w:right w:val="nil"/>
            </w:tcBorders>
          </w:tcPr>
          <w:p>
            <w:pPr>
              <w:spacing w:before="40" w:after="40"/>
              <w:jc w:val="center"/>
            </w:pPr>
            <w:r>
              <w:rPr>
                <w:rFonts w:ascii="Times New Roman" w:hAnsi="Times New Roman"/>
                <w:b w:val="0"/>
                <w:i w:val="0"/>
                <w:sz w:val="22"/>
              </w:rPr>
              <w:t>0.00</w:t>
            </w:r>
          </w:p>
        </w:tc>
      </w:tr>
      <w:tr>
        <w:tc>
          <w:tcPr>
            <w:tcW w:type="dxa" w:w="5328"/>
            <w:tcBorders>
              <w:top w:val="nil"/>
              <w:left w:val="nil"/>
              <w:bottom w:val="nil"/>
              <w:right w:val="nil"/>
            </w:tcBorders>
          </w:tcPr>
          <w:p>
            <w:pPr>
              <w:spacing w:before="40" w:after="40"/>
              <w:jc w:val="left"/>
            </w:pPr>
            <w:r>
              <w:rPr>
                <w:rFonts w:ascii="Times New Roman" w:hAnsi="Times New Roman"/>
                <w:b w:val="0"/>
                <w:i w:val="0"/>
                <w:sz w:val="22"/>
              </w:rPr>
              <w:t>System Ever Issued a Nitrate Notification (0/1)</w:t>
            </w:r>
          </w:p>
        </w:tc>
        <w:tc>
          <w:tcPr>
            <w:tcW w:type="dxa" w:w="1344"/>
            <w:tcBorders>
              <w:top w:val="nil"/>
              <w:left w:val="nil"/>
              <w:bottom w:val="nil"/>
              <w:right w:val="nil"/>
            </w:tcBorders>
          </w:tcPr>
          <w:p>
            <w:pPr>
              <w:spacing w:before="40" w:after="40"/>
              <w:jc w:val="center"/>
            </w:pPr>
            <w:r>
              <w:rPr>
                <w:rFonts w:ascii="Times New Roman" w:hAnsi="Times New Roman"/>
                <w:b w:val="0"/>
                <w:i w:val="0"/>
                <w:sz w:val="22"/>
              </w:rPr>
              <w:t>0.44</w:t>
            </w:r>
          </w:p>
        </w:tc>
        <w:tc>
          <w:tcPr>
            <w:tcW w:type="dxa" w:w="1344"/>
            <w:tcBorders>
              <w:top w:val="nil"/>
              <w:left w:val="nil"/>
              <w:bottom w:val="nil"/>
              <w:right w:val="nil"/>
            </w:tcBorders>
          </w:tcPr>
          <w:p>
            <w:pPr>
              <w:spacing w:before="40" w:after="40"/>
              <w:jc w:val="center"/>
            </w:pPr>
            <w:r>
              <w:rPr>
                <w:rFonts w:ascii="Times New Roman" w:hAnsi="Times New Roman"/>
                <w:b w:val="0"/>
                <w:i w:val="0"/>
                <w:sz w:val="22"/>
              </w:rPr>
              <w:t>0.00</w:t>
            </w:r>
          </w:p>
        </w:tc>
        <w:tc>
          <w:tcPr>
            <w:tcW w:type="dxa" w:w="1344"/>
            <w:tcBorders>
              <w:top w:val="nil"/>
              <w:left w:val="nil"/>
              <w:bottom w:val="nil"/>
              <w:right w:val="nil"/>
            </w:tcBorders>
          </w:tcPr>
          <w:p>
            <w:pPr>
              <w:spacing w:before="40" w:after="40"/>
              <w:jc w:val="center"/>
            </w:pPr>
            <w:r>
              <w:rPr>
                <w:rFonts w:ascii="Times New Roman" w:hAnsi="Times New Roman"/>
                <w:b w:val="0"/>
                <w:i w:val="0"/>
                <w:sz w:val="22"/>
              </w:rPr>
              <w:t>1.00</w:t>
            </w:r>
          </w:p>
        </w:tc>
      </w:tr>
      <w:tr>
        <w:tc>
          <w:tcPr>
            <w:tcW w:type="dxa" w:w="5328"/>
            <w:tcBorders>
              <w:top w:val="nil"/>
              <w:left w:val="nil"/>
              <w:bottom w:val="nil"/>
              <w:right w:val="nil"/>
            </w:tcBorders>
          </w:tcPr>
          <w:p>
            <w:pPr>
              <w:spacing w:before="40" w:after="40"/>
              <w:jc w:val="left"/>
            </w:pPr>
            <w:r>
              <w:rPr>
                <w:rFonts w:ascii="Times New Roman" w:hAnsi="Times New Roman"/>
                <w:b w:val="0"/>
                <w:i w:val="0"/>
                <w:sz w:val="22"/>
              </w:rPr>
              <w:t>Year of First Nitrate Notification</w:t>
            </w:r>
          </w:p>
        </w:tc>
        <w:tc>
          <w:tcPr>
            <w:tcW w:type="dxa" w:w="1344"/>
            <w:tcBorders>
              <w:top w:val="nil"/>
              <w:left w:val="nil"/>
              <w:bottom w:val="nil"/>
              <w:right w:val="nil"/>
            </w:tcBorders>
          </w:tcPr>
          <w:p>
            <w:pPr>
              <w:spacing w:before="40" w:after="40"/>
              <w:jc w:val="center"/>
            </w:pPr>
            <w:r>
              <w:rPr>
                <w:rFonts w:ascii="Times New Roman" w:hAnsi="Times New Roman"/>
                <w:b w:val="0"/>
                <w:i w:val="0"/>
                <w:sz w:val="22"/>
              </w:rPr>
              <w:t>2010</w:t>
            </w:r>
          </w:p>
        </w:tc>
        <w:tc>
          <w:tcPr>
            <w:tcW w:type="dxa" w:w="1344"/>
            <w:tcBorders>
              <w:top w:val="nil"/>
              <w:left w:val="nil"/>
              <w:bottom w:val="nil"/>
              <w:right w:val="nil"/>
            </w:tcBorders>
          </w:tcPr>
          <w:p>
            <w:pPr>
              <w:spacing w:before="40" w:after="40"/>
              <w:jc w:val="center"/>
            </w:pPr>
            <w:r>
              <w:rPr>
                <w:rFonts w:ascii="Times New Roman" w:hAnsi="Times New Roman"/>
                <w:b w:val="0"/>
                <w:i w:val="0"/>
                <w:sz w:val="22"/>
              </w:rPr>
              <w:t>2001</w:t>
            </w:r>
          </w:p>
        </w:tc>
        <w:tc>
          <w:tcPr>
            <w:tcW w:type="dxa" w:w="1344"/>
            <w:tcBorders>
              <w:top w:val="nil"/>
              <w:left w:val="nil"/>
              <w:bottom w:val="nil"/>
              <w:right w:val="nil"/>
            </w:tcBorders>
          </w:tcPr>
          <w:p>
            <w:pPr>
              <w:spacing w:before="40" w:after="40"/>
              <w:jc w:val="center"/>
            </w:pPr>
            <w:r>
              <w:rPr>
                <w:rFonts w:ascii="Times New Roman" w:hAnsi="Times New Roman"/>
                <w:b w:val="0"/>
                <w:i w:val="0"/>
                <w:sz w:val="22"/>
              </w:rPr>
              <w:t>2021</w:t>
            </w:r>
          </w:p>
        </w:tc>
      </w:tr>
      <w:tr>
        <w:tc>
          <w:tcPr>
            <w:tcW w:type="dxa" w:w="5328"/>
            <w:tcBorders>
              <w:top w:val="nil"/>
              <w:left w:val="nil"/>
              <w:bottom w:val="nil"/>
              <w:right w:val="nil"/>
            </w:tcBorders>
          </w:tcPr>
          <w:p>
            <w:pPr>
              <w:spacing w:before="40" w:after="40"/>
              <w:jc w:val="left"/>
            </w:pPr>
            <w:r>
              <w:rPr>
                <w:rFonts w:ascii="Times New Roman" w:hAnsi="Times New Roman"/>
                <w:b w:val="0"/>
                <w:i w:val="0"/>
                <w:sz w:val="22"/>
              </w:rPr>
              <w:t>Service Population</w:t>
            </w:r>
          </w:p>
        </w:tc>
        <w:tc>
          <w:tcPr>
            <w:tcW w:type="dxa" w:w="1344"/>
            <w:tcBorders>
              <w:top w:val="nil"/>
              <w:left w:val="nil"/>
              <w:bottom w:val="nil"/>
              <w:right w:val="nil"/>
            </w:tcBorders>
          </w:tcPr>
          <w:p>
            <w:pPr>
              <w:spacing w:before="40" w:after="40"/>
              <w:jc w:val="center"/>
            </w:pPr>
            <w:r>
              <w:rPr>
                <w:rFonts w:ascii="Times New Roman" w:hAnsi="Times New Roman"/>
                <w:b w:val="0"/>
                <w:i w:val="0"/>
                <w:sz w:val="22"/>
              </w:rPr>
              <w:t>81,747</w:t>
            </w:r>
          </w:p>
        </w:tc>
        <w:tc>
          <w:tcPr>
            <w:tcW w:type="dxa" w:w="1344"/>
            <w:tcBorders>
              <w:top w:val="nil"/>
              <w:left w:val="nil"/>
              <w:bottom w:val="nil"/>
              <w:right w:val="nil"/>
            </w:tcBorders>
          </w:tcPr>
          <w:p>
            <w:pPr>
              <w:spacing w:before="40" w:after="40"/>
              <w:jc w:val="center"/>
            </w:pPr>
            <w:r>
              <w:rPr>
                <w:rFonts w:ascii="Times New Roman" w:hAnsi="Times New Roman"/>
                <w:b w:val="0"/>
                <w:i w:val="0"/>
                <w:sz w:val="22"/>
              </w:rPr>
              <w:t>694</w:t>
            </w:r>
          </w:p>
        </w:tc>
        <w:tc>
          <w:tcPr>
            <w:tcW w:type="dxa" w:w="1344"/>
            <w:tcBorders>
              <w:top w:val="nil"/>
              <w:left w:val="nil"/>
              <w:bottom w:val="nil"/>
              <w:right w:val="nil"/>
            </w:tcBorders>
          </w:tcPr>
          <w:p>
            <w:pPr>
              <w:spacing w:before="40" w:after="40"/>
              <w:jc w:val="center"/>
            </w:pPr>
            <w:r>
              <w:rPr>
                <w:rFonts w:ascii="Times New Roman" w:hAnsi="Times New Roman"/>
                <w:b w:val="0"/>
                <w:i w:val="0"/>
                <w:sz w:val="22"/>
              </w:rPr>
              <w:t>108,599</w:t>
            </w:r>
          </w:p>
        </w:tc>
      </w:tr>
      <w:tr>
        <w:tc>
          <w:tcPr>
            <w:tcW w:type="dxa" w:w="5328"/>
            <w:tcBorders>
              <w:top w:val="single" w:sz="4" w:space="0" w:color="auto"/>
              <w:left w:val="nil"/>
              <w:bottom w:val="single" w:sz="12" w:space="0" w:color="auto"/>
              <w:right w:val="nil"/>
            </w:tcBorders>
          </w:tcPr>
          <w:p>
            <w:pPr>
              <w:spacing w:before="40" w:after="40"/>
              <w:jc w:val="left"/>
            </w:pPr>
            <w:r>
              <w:rPr>
                <w:rFonts w:ascii="Times New Roman" w:hAnsi="Times New Roman"/>
                <w:b w:val="0"/>
                <w:i w:val="0"/>
                <w:sz w:val="22"/>
              </w:rPr>
              <w:t>Number of Observations</w:t>
            </w:r>
          </w:p>
        </w:tc>
        <w:tc>
          <w:tcPr>
            <w:tcW w:type="dxa" w:w="1344"/>
            <w:tcBorders>
              <w:top w:val="single" w:sz="4" w:space="0" w:color="auto"/>
              <w:left w:val="nil"/>
              <w:bottom w:val="single" w:sz="12" w:space="0" w:color="auto"/>
              <w:right w:val="nil"/>
            </w:tcBorders>
          </w:tcPr>
          <w:p>
            <w:pPr>
              <w:spacing w:before="40" w:after="40"/>
              <w:jc w:val="center"/>
            </w:pPr>
            <w:r>
              <w:rPr>
                <w:rFonts w:ascii="Times New Roman" w:hAnsi="Times New Roman"/>
                <w:b w:val="0"/>
                <w:i w:val="0"/>
                <w:sz w:val="22"/>
              </w:rPr>
              <w:t>2,925</w:t>
            </w:r>
          </w:p>
        </w:tc>
        <w:tc>
          <w:tcPr>
            <w:tcW w:type="dxa" w:w="1344"/>
            <w:tcBorders>
              <w:top w:val="single" w:sz="4" w:space="0" w:color="auto"/>
              <w:left w:val="nil"/>
              <w:bottom w:val="single" w:sz="12" w:space="0" w:color="auto"/>
              <w:right w:val="nil"/>
            </w:tcBorders>
          </w:tcPr>
          <w:p>
            <w:pPr>
              <w:spacing w:before="40" w:after="40"/>
              <w:jc w:val="center"/>
            </w:pPr>
            <w:r>
              <w:rPr>
                <w:rFonts w:ascii="Times New Roman" w:hAnsi="Times New Roman"/>
                <w:b w:val="0"/>
                <w:i w:val="0"/>
                <w:sz w:val="22"/>
              </w:rPr>
            </w:r>
          </w:p>
        </w:tc>
        <w:tc>
          <w:tcPr>
            <w:tcW w:type="dxa" w:w="1344"/>
            <w:tcBorders>
              <w:top w:val="single" w:sz="4" w:space="0" w:color="auto"/>
              <w:left w:val="nil"/>
              <w:bottom w:val="single" w:sz="12" w:space="0" w:color="auto"/>
              <w:right w:val="nil"/>
            </w:tcBorders>
          </w:tcPr>
          <w:p>
            <w:pPr>
              <w:spacing w:before="40" w:after="40"/>
              <w:jc w:val="center"/>
            </w:pPr>
            <w:r>
              <w:rPr>
                <w:rFonts w:ascii="Times New Roman" w:hAnsi="Times New Roman"/>
                <w:b w:val="0"/>
                <w:i w:val="0"/>
                <w:sz w:val="22"/>
              </w:rPr>
            </w:r>
          </w:p>
        </w:tc>
      </w:tr>
    </w:tbl>
    <w:p>
      <w:pPr>
        <w:spacing w:before="120"/>
        <w:jc w:val="both"/>
      </w:pPr>
      <w:r>
        <w:rPr>
          <w:rFonts w:ascii="Times New Roman" w:hAnsi="Times New Roman"/>
          <w:b/>
          <w:i w:val="0"/>
          <w:sz w:val="18"/>
        </w:rPr>
        <w:t xml:space="preserve">NOTES: </w:t>
      </w:r>
      <w:r>
        <w:rPr>
          <w:rFonts w:ascii="Times New Roman" w:hAnsi="Times New Roman"/>
          <w:b w:val="0"/>
          <w:i w:val="0"/>
          <w:sz w:val="18"/>
        </w:rPr>
        <w:t>Each observation is a community water system (CWS) in a given year. The sample includes CWS in California counties that experienced at least one nitrate public notification between 2000 and 2024. Home values are the typical home value from the Zillow Home Value Index, averaged across the ZIP codes served by each CWS. Year of First Nitrate Notification is calculated only for systems that ever issued one.</w:t>
      </w:r>
    </w:p>
    <w:p>
      <w:r>
        <w:br w:type="page"/>
      </w:r>
    </w:p>
    <w:p>
      <w:pPr>
        <w:spacing w:after="200"/>
      </w:pPr>
      <w:r>
        <w:rPr>
          <w:rFonts w:ascii="Times New Roman" w:hAnsi="Times New Roman"/>
          <w:b/>
          <w:i w:val="0"/>
          <w:sz w:val="24"/>
        </w:rPr>
        <w:t xml:space="preserve">Table 2: </w:t>
      </w:r>
      <w:r>
        <w:rPr>
          <w:rFonts w:ascii="Times New Roman" w:hAnsi="Times New Roman"/>
          <w:b w:val="0"/>
          <w:i/>
          <w:sz w:val="24"/>
        </w:rPr>
        <w:t>Effect of Nitrate Contamination Notices on Home Prices</w:t>
      </w:r>
    </w:p>
    <w:tbl>
      <w:tblPr>
        <w:jc w:val="center"/>
        <w:tblLayout w:type="fixed"/>
        <w:tblLook w:firstColumn="1" w:firstRow="1" w:lastColumn="0" w:lastRow="0" w:noHBand="0" w:noVBand="1" w:val="04A0"/>
        <w:tblLayout w:type="fixed"/>
        <w:tblW w:w="9360" w:type="dxa"/>
      </w:tblPr>
      <w:tblGrid>
        <w:gridCol w:w="5616"/>
        <w:gridCol w:w="1872"/>
        <w:gridCol w:w="1872"/>
      </w:tblGrid>
      <w:tr>
        <w:tc>
          <w:tcPr>
            <w:tcW w:type="dxa" w:w="5616"/>
            <w:tcBorders>
              <w:top w:val="single" w:sz="12" w:space="0" w:color="auto"/>
              <w:left w:val="nil"/>
              <w:bottom w:val="single" w:sz="4" w:space="0" w:color="auto"/>
              <w:right w:val="nil"/>
            </w:tcBorders>
          </w:tcPr>
          <w:p>
            <w:pPr>
              <w:spacing w:before="40" w:after="40"/>
              <w:jc w:val="left"/>
            </w:pPr>
            <w:r>
              <w:rPr>
                <w:rFonts w:ascii="Times New Roman" w:hAnsi="Times New Roman"/>
                <w:b/>
                <w:i/>
                <w:sz w:val="22"/>
              </w:rPr>
              <w:t xml:space="preserve">Outcome: </w:t>
            </w:r>
            <w:r>
              <w:rPr>
                <w:rFonts w:ascii="Times New Roman" w:hAnsi="Times New Roman"/>
                <w:b/>
                <w:i w:val="0"/>
                <w:sz w:val="22"/>
              </w:rPr>
              <w:t>Log Home Value</w:t>
            </w:r>
          </w:p>
        </w:tc>
        <w:tc>
          <w:tcPr>
            <w:tcW w:type="dxa" w:w="1872"/>
            <w:tcBorders>
              <w:top w:val="single" w:sz="12" w:space="0" w:color="auto"/>
              <w:left w:val="nil"/>
              <w:bottom w:val="single" w:sz="4" w:space="0" w:color="auto"/>
              <w:right w:val="nil"/>
            </w:tcBorders>
          </w:tcPr>
          <w:p>
            <w:pPr>
              <w:spacing w:before="40" w:after="40"/>
              <w:jc w:val="center"/>
            </w:pPr>
            <w:r>
              <w:rPr>
                <w:rFonts w:ascii="Times New Roman" w:hAnsi="Times New Roman"/>
                <w:b w:val="0"/>
                <w:i w:val="0"/>
                <w:sz w:val="22"/>
              </w:rPr>
              <w:t>(1)</w:t>
            </w:r>
          </w:p>
        </w:tc>
        <w:tc>
          <w:tcPr>
            <w:tcW w:type="dxa" w:w="1872"/>
            <w:tcBorders>
              <w:top w:val="single" w:sz="12" w:space="0" w:color="auto"/>
              <w:left w:val="nil"/>
              <w:bottom w:val="single" w:sz="4" w:space="0" w:color="auto"/>
              <w:right w:val="nil"/>
            </w:tcBorders>
          </w:tcPr>
          <w:p>
            <w:pPr>
              <w:spacing w:before="40" w:after="40"/>
              <w:jc w:val="center"/>
            </w:pPr>
            <w:r>
              <w:rPr>
                <w:rFonts w:ascii="Times New Roman" w:hAnsi="Times New Roman"/>
                <w:b w:val="0"/>
                <w:i w:val="0"/>
                <w:sz w:val="22"/>
              </w:rPr>
              <w:t>(2)</w:t>
            </w:r>
          </w:p>
        </w:tc>
      </w:tr>
      <w:tr>
        <w:tc>
          <w:tcPr>
            <w:tcW w:type="dxa" w:w="5616"/>
            <w:tcBorders>
              <w:top w:val="nil"/>
              <w:left w:val="nil"/>
              <w:bottom w:val="nil"/>
              <w:right w:val="nil"/>
            </w:tcBorders>
          </w:tcPr>
          <w:p>
            <w:pPr>
              <w:spacing w:before="40" w:after="40"/>
              <w:jc w:val="left"/>
            </w:pPr>
            <w:r>
              <w:rPr>
                <w:rFonts w:ascii="Times New Roman" w:hAnsi="Times New Roman"/>
                <w:b w:val="0"/>
                <w:i w:val="0"/>
                <w:sz w:val="22"/>
              </w:rPr>
              <w:t>Nitrate Public Notification</w:t>
            </w:r>
          </w:p>
        </w:tc>
        <w:tc>
          <w:tcPr>
            <w:tcW w:type="dxa" w:w="1872"/>
            <w:tcBorders>
              <w:top w:val="nil"/>
              <w:left w:val="nil"/>
              <w:bottom w:val="nil"/>
              <w:right w:val="nil"/>
            </w:tcBorders>
          </w:tcPr>
          <w:p>
            <w:pPr>
              <w:spacing w:before="40" w:after="40"/>
              <w:jc w:val="center"/>
            </w:pPr>
            <w:r>
              <w:rPr>
                <w:rFonts w:ascii="Times New Roman" w:hAnsi="Times New Roman"/>
                <w:b w:val="0"/>
                <w:i w:val="0"/>
                <w:sz w:val="22"/>
              </w:rPr>
              <w:t>-0.058***</w:t>
            </w:r>
          </w:p>
        </w:tc>
        <w:tc>
          <w:tcPr>
            <w:tcW w:type="dxa" w:w="1872"/>
            <w:tcBorders>
              <w:top w:val="nil"/>
              <w:left w:val="nil"/>
              <w:bottom w:val="nil"/>
              <w:right w:val="nil"/>
            </w:tcBorders>
          </w:tcPr>
          <w:p>
            <w:pPr>
              <w:spacing w:before="40" w:after="40"/>
              <w:jc w:val="center"/>
            </w:pPr>
            <w:r>
              <w:rPr>
                <w:rFonts w:ascii="Times New Roman" w:hAnsi="Times New Roman"/>
                <w:b w:val="0"/>
                <w:i w:val="0"/>
                <w:sz w:val="22"/>
              </w:rPr>
              <w:t>-0.069***</w:t>
            </w:r>
          </w:p>
        </w:tc>
      </w:tr>
      <w:tr>
        <w:tc>
          <w:tcPr>
            <w:tcW w:type="dxa" w:w="5616"/>
            <w:tcBorders>
              <w:top w:val="nil"/>
              <w:left w:val="nil"/>
              <w:bottom w:val="nil"/>
              <w:right w:val="nil"/>
            </w:tcBorders>
          </w:tcPr>
          <w:p>
            <w:pPr>
              <w:spacing w:before="0" w:after="80"/>
              <w:jc w:val="left"/>
            </w:pPr>
            <w:r>
              <w:rPr>
                <w:rFonts w:ascii="Times New Roman" w:hAnsi="Times New Roman"/>
                <w:b w:val="0"/>
                <w:i w:val="0"/>
                <w:sz w:val="18"/>
              </w:rPr>
            </w:r>
          </w:p>
        </w:tc>
        <w:tc>
          <w:tcPr>
            <w:tcW w:type="dxa" w:w="1872"/>
            <w:tcBorders>
              <w:top w:val="nil"/>
              <w:left w:val="nil"/>
              <w:bottom w:val="nil"/>
              <w:right w:val="nil"/>
            </w:tcBorders>
          </w:tcPr>
          <w:p>
            <w:pPr>
              <w:spacing w:before="0" w:after="80"/>
              <w:jc w:val="center"/>
            </w:pPr>
            <w:r>
              <w:rPr>
                <w:rFonts w:ascii="Times New Roman" w:hAnsi="Times New Roman"/>
                <w:b w:val="0"/>
                <w:i w:val="0"/>
                <w:sz w:val="18"/>
              </w:rPr>
              <w:t>(0.022)</w:t>
            </w:r>
          </w:p>
        </w:tc>
        <w:tc>
          <w:tcPr>
            <w:tcW w:type="dxa" w:w="1872"/>
            <w:tcBorders>
              <w:top w:val="nil"/>
              <w:left w:val="nil"/>
              <w:bottom w:val="nil"/>
              <w:right w:val="nil"/>
            </w:tcBorders>
          </w:tcPr>
          <w:p>
            <w:pPr>
              <w:spacing w:before="0" w:after="80"/>
              <w:jc w:val="center"/>
            </w:pPr>
            <w:r>
              <w:rPr>
                <w:rFonts w:ascii="Times New Roman" w:hAnsi="Times New Roman"/>
                <w:b w:val="0"/>
                <w:i w:val="0"/>
                <w:sz w:val="18"/>
              </w:rPr>
              <w:t>(0.024)</w:t>
            </w:r>
          </w:p>
        </w:tc>
      </w:tr>
      <w:tr>
        <w:tc>
          <w:tcPr>
            <w:tcW w:type="dxa" w:w="5616"/>
            <w:tcBorders>
              <w:top w:val="single" w:sz="4" w:space="0" w:color="auto"/>
              <w:left w:val="nil"/>
              <w:bottom w:val="nil"/>
              <w:right w:val="nil"/>
            </w:tcBorders>
          </w:tcPr>
          <w:p>
            <w:pPr>
              <w:spacing w:before="40" w:after="40"/>
              <w:jc w:val="left"/>
            </w:pPr>
            <w:r>
              <w:rPr>
                <w:rFonts w:ascii="Times New Roman" w:hAnsi="Times New Roman"/>
                <w:b w:val="0"/>
                <w:i w:val="0"/>
                <w:sz w:val="22"/>
              </w:rPr>
              <w:t>Water System and Year Fixed Effects</w:t>
            </w:r>
          </w:p>
        </w:tc>
        <w:tc>
          <w:tcPr>
            <w:tcW w:type="dxa" w:w="1872"/>
            <w:tcBorders>
              <w:top w:val="single" w:sz="4" w:space="0" w:color="auto"/>
              <w:left w:val="nil"/>
              <w:bottom w:val="nil"/>
              <w:right w:val="nil"/>
            </w:tcBorders>
          </w:tcPr>
          <w:p>
            <w:pPr>
              <w:spacing w:before="40" w:after="40"/>
              <w:jc w:val="center"/>
            </w:pPr>
            <w:r>
              <w:rPr>
                <w:rFonts w:ascii="Times New Roman" w:hAnsi="Times New Roman"/>
                <w:b w:val="0"/>
                <w:i w:val="0"/>
                <w:sz w:val="22"/>
              </w:rPr>
              <w:t>Yes</w:t>
            </w:r>
          </w:p>
        </w:tc>
        <w:tc>
          <w:tcPr>
            <w:tcW w:type="dxa" w:w="1872"/>
            <w:tcBorders>
              <w:top w:val="single" w:sz="4" w:space="0" w:color="auto"/>
              <w:left w:val="nil"/>
              <w:bottom w:val="nil"/>
              <w:right w:val="nil"/>
            </w:tcBorders>
          </w:tcPr>
          <w:p>
            <w:pPr>
              <w:spacing w:before="40" w:after="40"/>
              <w:jc w:val="center"/>
            </w:pPr>
            <w:r>
              <w:rPr>
                <w:rFonts w:ascii="Times New Roman" w:hAnsi="Times New Roman"/>
                <w:b w:val="0"/>
                <w:i w:val="0"/>
                <w:sz w:val="22"/>
              </w:rPr>
              <w:t>Yes</w:t>
            </w:r>
          </w:p>
        </w:tc>
      </w:tr>
      <w:tr>
        <w:tc>
          <w:tcPr>
            <w:tcW w:type="dxa" w:w="5616"/>
            <w:tcBorders>
              <w:top w:val="nil"/>
              <w:left w:val="nil"/>
              <w:bottom w:val="nil"/>
              <w:right w:val="nil"/>
            </w:tcBorders>
          </w:tcPr>
          <w:p>
            <w:pPr>
              <w:spacing w:before="40" w:after="40"/>
              <w:jc w:val="left"/>
            </w:pPr>
            <w:r>
              <w:rPr>
                <w:rFonts w:ascii="Times New Roman" w:hAnsi="Times New Roman"/>
                <w:b w:val="0"/>
                <w:i w:val="0"/>
                <w:sz w:val="22"/>
              </w:rPr>
              <w:t>Estimator</w:t>
            </w:r>
          </w:p>
        </w:tc>
        <w:tc>
          <w:tcPr>
            <w:tcW w:type="dxa" w:w="1872"/>
            <w:tcBorders>
              <w:top w:val="nil"/>
              <w:left w:val="nil"/>
              <w:bottom w:val="nil"/>
              <w:right w:val="nil"/>
            </w:tcBorders>
          </w:tcPr>
          <w:p>
            <w:pPr>
              <w:spacing w:before="40" w:after="40"/>
              <w:jc w:val="center"/>
            </w:pPr>
            <w:r>
              <w:rPr>
                <w:rFonts w:ascii="Times New Roman" w:hAnsi="Times New Roman"/>
                <w:b w:val="0"/>
                <w:i w:val="0"/>
                <w:sz w:val="22"/>
              </w:rPr>
              <w:t>Imputation</w:t>
            </w:r>
          </w:p>
        </w:tc>
        <w:tc>
          <w:tcPr>
            <w:tcW w:type="dxa" w:w="1872"/>
            <w:tcBorders>
              <w:top w:val="nil"/>
              <w:left w:val="nil"/>
              <w:bottom w:val="nil"/>
              <w:right w:val="nil"/>
            </w:tcBorders>
          </w:tcPr>
          <w:p>
            <w:pPr>
              <w:spacing w:before="40" w:after="40"/>
              <w:jc w:val="center"/>
            </w:pPr>
            <w:r>
              <w:rPr>
                <w:rFonts w:ascii="Times New Roman" w:hAnsi="Times New Roman"/>
                <w:b w:val="0"/>
                <w:i w:val="0"/>
                <w:sz w:val="22"/>
              </w:rPr>
              <w:t>Two-Stage</w:t>
            </w:r>
          </w:p>
        </w:tc>
      </w:tr>
      <w:tr>
        <w:tc>
          <w:tcPr>
            <w:tcW w:type="dxa" w:w="5616"/>
            <w:tcBorders>
              <w:top w:val="nil"/>
              <w:left w:val="nil"/>
              <w:bottom w:val="single" w:sz="12" w:space="0" w:color="auto"/>
              <w:right w:val="nil"/>
            </w:tcBorders>
          </w:tcPr>
          <w:p>
            <w:pPr>
              <w:spacing w:before="40" w:after="40"/>
              <w:jc w:val="left"/>
            </w:pPr>
            <w:r>
              <w:rPr>
                <w:rFonts w:ascii="Times New Roman" w:hAnsi="Times New Roman"/>
                <w:b w:val="0"/>
                <w:i w:val="0"/>
                <w:sz w:val="22"/>
              </w:rPr>
              <w:t>Number of Observations</w:t>
            </w:r>
          </w:p>
        </w:tc>
        <w:tc>
          <w:tcPr>
            <w:tcW w:type="dxa" w:w="1872"/>
            <w:tcBorders>
              <w:top w:val="nil"/>
              <w:left w:val="nil"/>
              <w:bottom w:val="single" w:sz="12" w:space="0" w:color="auto"/>
              <w:right w:val="nil"/>
            </w:tcBorders>
          </w:tcPr>
          <w:p>
            <w:pPr>
              <w:spacing w:before="40" w:after="40"/>
              <w:jc w:val="center"/>
            </w:pPr>
            <w:r>
              <w:rPr>
                <w:rFonts w:ascii="Times New Roman" w:hAnsi="Times New Roman"/>
                <w:b w:val="0"/>
                <w:i w:val="0"/>
                <w:sz w:val="22"/>
              </w:rPr>
              <w:t>2,875</w:t>
            </w:r>
          </w:p>
        </w:tc>
        <w:tc>
          <w:tcPr>
            <w:tcW w:type="dxa" w:w="1872"/>
            <w:tcBorders>
              <w:top w:val="nil"/>
              <w:left w:val="nil"/>
              <w:bottom w:val="single" w:sz="12" w:space="0" w:color="auto"/>
              <w:right w:val="nil"/>
            </w:tcBorders>
          </w:tcPr>
          <w:p>
            <w:pPr>
              <w:spacing w:before="40" w:after="40"/>
              <w:jc w:val="center"/>
            </w:pPr>
            <w:r>
              <w:rPr>
                <w:rFonts w:ascii="Times New Roman" w:hAnsi="Times New Roman"/>
                <w:b w:val="0"/>
                <w:i w:val="0"/>
                <w:sz w:val="22"/>
              </w:rPr>
              <w:t>2,875</w:t>
            </w:r>
          </w:p>
        </w:tc>
      </w:tr>
    </w:tbl>
    <w:p>
      <w:pPr>
        <w:spacing w:before="120"/>
        <w:jc w:val="both"/>
      </w:pPr>
      <w:r>
        <w:rPr>
          <w:rFonts w:ascii="Times New Roman" w:hAnsi="Times New Roman"/>
          <w:b/>
          <w:i w:val="0"/>
          <w:sz w:val="18"/>
        </w:rPr>
        <w:t xml:space="preserve">NOTES: </w:t>
      </w:r>
      <w:r>
        <w:rPr>
          <w:rFonts w:ascii="Times New Roman" w:hAnsi="Times New Roman"/>
          <w:b w:val="0"/>
          <w:i w:val="0"/>
          <w:sz w:val="18"/>
        </w:rPr>
        <w:t>Each observation is a community water system (CWS) in a given year, 2000 to 2024. The explanatory variable equals 1 in the year a CWS issues its first nitrate public notification and every year after. Both columns include CWS and year fixed effects. Column 1 uses the Borusyak, Jaravel, and Spiess (2024) imputation estimator; Column 2 uses the Gardner et al. two-stage difference-in-differences estimator. Standard errors are clustered at the CWS level.</w:t>
      </w:r>
    </w:p>
    <w:p>
      <w:pPr>
        <w:spacing w:before="80"/>
      </w:pPr>
      <w:r>
        <w:rPr>
          <w:rFonts w:ascii="Times New Roman" w:hAnsi="Times New Roman"/>
          <w:b w:val="0"/>
          <w:i/>
          <w:sz w:val="18"/>
        </w:rPr>
        <w:t>* p&lt;0.1; ** p&lt;0.05; *** p&lt;0.01</w:t>
      </w:r>
    </w:p>
    <w:p>
      <w:r>
        <w:br w:type="page"/>
      </w:r>
    </w:p>
    <w:p>
      <w:pPr>
        <w:spacing w:after="200"/>
      </w:pPr>
      <w:r>
        <w:rPr>
          <w:rFonts w:ascii="Times New Roman" w:hAnsi="Times New Roman"/>
          <w:b/>
          <w:i w:val="0"/>
          <w:sz w:val="24"/>
        </w:rPr>
        <w:t xml:space="preserve">Table 3: </w:t>
      </w:r>
      <w:r>
        <w:rPr>
          <w:rFonts w:ascii="Times New Roman" w:hAnsi="Times New Roman"/>
          <w:b w:val="0"/>
          <w:i/>
          <w:sz w:val="24"/>
        </w:rPr>
        <w:t>Effect of Nitrate Contamination Notices on Home Prices, by Water System Size</w:t>
      </w:r>
    </w:p>
    <w:tbl>
      <w:tblPr>
        <w:jc w:val="center"/>
        <w:tblLayout w:type="fixed"/>
        <w:tblLook w:firstColumn="1" w:firstRow="1" w:lastColumn="0" w:lastRow="0" w:noHBand="0" w:noVBand="1" w:val="04A0"/>
        <w:tblLayout w:type="fixed"/>
        <w:tblW w:w="9360" w:type="dxa"/>
      </w:tblPr>
      <w:tblGrid>
        <w:gridCol w:w="6336"/>
        <w:gridCol w:w="3024"/>
      </w:tblGrid>
      <w:tr>
        <w:tc>
          <w:tcPr>
            <w:tcW w:type="dxa" w:w="6336"/>
            <w:tcBorders>
              <w:top w:val="single" w:sz="12" w:space="0" w:color="auto"/>
              <w:left w:val="nil"/>
              <w:bottom w:val="single" w:sz="4" w:space="0" w:color="auto"/>
              <w:right w:val="nil"/>
            </w:tcBorders>
          </w:tcPr>
          <w:p>
            <w:pPr>
              <w:spacing w:before="40" w:after="40"/>
              <w:jc w:val="left"/>
            </w:pPr>
            <w:r>
              <w:rPr>
                <w:rFonts w:ascii="Times New Roman" w:hAnsi="Times New Roman"/>
                <w:b/>
                <w:i/>
                <w:sz w:val="22"/>
              </w:rPr>
              <w:t xml:space="preserve">Outcome: </w:t>
            </w:r>
            <w:r>
              <w:rPr>
                <w:rFonts w:ascii="Times New Roman" w:hAnsi="Times New Roman"/>
                <w:b/>
                <w:i w:val="0"/>
                <w:sz w:val="22"/>
              </w:rPr>
              <w:t>Log Home Value</w:t>
            </w:r>
          </w:p>
        </w:tc>
        <w:tc>
          <w:tcPr>
            <w:tcW w:type="dxa" w:w="3024"/>
            <w:tcBorders>
              <w:top w:val="single" w:sz="12" w:space="0" w:color="auto"/>
              <w:left w:val="nil"/>
              <w:bottom w:val="single" w:sz="4" w:space="0" w:color="auto"/>
              <w:right w:val="nil"/>
            </w:tcBorders>
          </w:tcPr>
          <w:p>
            <w:pPr>
              <w:spacing w:before="40" w:after="40"/>
              <w:jc w:val="center"/>
            </w:pPr>
            <w:r>
              <w:rPr>
                <w:rFonts w:ascii="Times New Roman" w:hAnsi="Times New Roman"/>
                <w:b w:val="0"/>
                <w:i w:val="0"/>
                <w:sz w:val="22"/>
              </w:rPr>
              <w:t>(1)</w:t>
            </w:r>
          </w:p>
        </w:tc>
      </w:tr>
      <w:tr>
        <w:tc>
          <w:tcPr>
            <w:tcW w:type="dxa" w:w="6336"/>
            <w:tcBorders>
              <w:top w:val="nil"/>
              <w:left w:val="nil"/>
              <w:bottom w:val="nil"/>
              <w:right w:val="nil"/>
            </w:tcBorders>
          </w:tcPr>
          <w:p>
            <w:pPr>
              <w:spacing w:before="40" w:after="40"/>
              <w:jc w:val="left"/>
            </w:pPr>
            <w:r>
              <w:rPr>
                <w:rFonts w:ascii="Times New Roman" w:hAnsi="Times New Roman"/>
                <w:b w:val="0"/>
                <w:i w:val="0"/>
                <w:sz w:val="22"/>
              </w:rPr>
              <w:t>Nitrate Public Notification</w:t>
            </w:r>
          </w:p>
        </w:tc>
        <w:tc>
          <w:tcPr>
            <w:tcW w:type="dxa" w:w="3024"/>
            <w:tcBorders>
              <w:top w:val="nil"/>
              <w:left w:val="nil"/>
              <w:bottom w:val="nil"/>
              <w:right w:val="nil"/>
            </w:tcBorders>
          </w:tcPr>
          <w:p>
            <w:pPr>
              <w:spacing w:before="40" w:after="40"/>
              <w:jc w:val="center"/>
            </w:pPr>
            <w:r>
              <w:rPr>
                <w:rFonts w:ascii="Times New Roman" w:hAnsi="Times New Roman"/>
                <w:b w:val="0"/>
                <w:i w:val="0"/>
                <w:sz w:val="22"/>
              </w:rPr>
              <w:t>-0.047***</w:t>
            </w:r>
          </w:p>
        </w:tc>
      </w:tr>
      <w:tr>
        <w:tc>
          <w:tcPr>
            <w:tcW w:type="dxa" w:w="6336"/>
            <w:tcBorders>
              <w:top w:val="nil"/>
              <w:left w:val="nil"/>
              <w:bottom w:val="nil"/>
              <w:right w:val="nil"/>
            </w:tcBorders>
          </w:tcPr>
          <w:p>
            <w:pPr>
              <w:spacing w:before="0" w:after="80"/>
              <w:jc w:val="left"/>
            </w:pPr>
            <w:r>
              <w:rPr>
                <w:rFonts w:ascii="Times New Roman" w:hAnsi="Times New Roman"/>
                <w:b w:val="0"/>
                <w:i w:val="0"/>
                <w:sz w:val="18"/>
              </w:rPr>
            </w:r>
          </w:p>
        </w:tc>
        <w:tc>
          <w:tcPr>
            <w:tcW w:type="dxa" w:w="3024"/>
            <w:tcBorders>
              <w:top w:val="nil"/>
              <w:left w:val="nil"/>
              <w:bottom w:val="nil"/>
              <w:right w:val="nil"/>
            </w:tcBorders>
          </w:tcPr>
          <w:p>
            <w:pPr>
              <w:spacing w:before="0" w:after="80"/>
              <w:jc w:val="center"/>
            </w:pPr>
            <w:r>
              <w:rPr>
                <w:rFonts w:ascii="Times New Roman" w:hAnsi="Times New Roman"/>
                <w:b w:val="0"/>
                <w:i w:val="0"/>
                <w:sz w:val="18"/>
              </w:rPr>
              <w:t>(0.017)</w:t>
            </w:r>
          </w:p>
        </w:tc>
      </w:tr>
      <w:tr>
        <w:tc>
          <w:tcPr>
            <w:tcW w:type="dxa" w:w="6336"/>
            <w:tcBorders>
              <w:top w:val="nil"/>
              <w:left w:val="nil"/>
              <w:bottom w:val="nil"/>
              <w:right w:val="nil"/>
            </w:tcBorders>
          </w:tcPr>
          <w:p>
            <w:pPr>
              <w:spacing w:before="40" w:after="40"/>
              <w:jc w:val="left"/>
            </w:pPr>
            <w:r>
              <w:rPr>
                <w:rFonts w:ascii="Times New Roman" w:hAnsi="Times New Roman"/>
                <w:b w:val="0"/>
                <w:i w:val="0"/>
                <w:sz w:val="22"/>
              </w:rPr>
              <w:t>Small Water System</w:t>
            </w:r>
          </w:p>
        </w:tc>
        <w:tc>
          <w:tcPr>
            <w:tcW w:type="dxa" w:w="3024"/>
            <w:tcBorders>
              <w:top w:val="nil"/>
              <w:left w:val="nil"/>
              <w:bottom w:val="nil"/>
              <w:right w:val="nil"/>
            </w:tcBorders>
          </w:tcPr>
          <w:p>
            <w:pPr>
              <w:spacing w:before="40" w:after="40"/>
              <w:jc w:val="center"/>
            </w:pPr>
            <w:r>
              <w:rPr>
                <w:rFonts w:ascii="Times New Roman" w:hAnsi="Times New Roman"/>
                <w:b w:val="0"/>
                <w:i w:val="0"/>
                <w:sz w:val="22"/>
              </w:rPr>
              <w:t>-0.184***</w:t>
            </w:r>
          </w:p>
        </w:tc>
      </w:tr>
      <w:tr>
        <w:tc>
          <w:tcPr>
            <w:tcW w:type="dxa" w:w="6336"/>
            <w:tcBorders>
              <w:top w:val="nil"/>
              <w:left w:val="nil"/>
              <w:bottom w:val="nil"/>
              <w:right w:val="nil"/>
            </w:tcBorders>
          </w:tcPr>
          <w:p>
            <w:pPr>
              <w:spacing w:before="0" w:after="80"/>
              <w:jc w:val="left"/>
            </w:pPr>
            <w:r>
              <w:rPr>
                <w:rFonts w:ascii="Times New Roman" w:hAnsi="Times New Roman"/>
                <w:b w:val="0"/>
                <w:i w:val="0"/>
                <w:sz w:val="18"/>
              </w:rPr>
            </w:r>
          </w:p>
        </w:tc>
        <w:tc>
          <w:tcPr>
            <w:tcW w:type="dxa" w:w="3024"/>
            <w:tcBorders>
              <w:top w:val="nil"/>
              <w:left w:val="nil"/>
              <w:bottom w:val="nil"/>
              <w:right w:val="nil"/>
            </w:tcBorders>
          </w:tcPr>
          <w:p>
            <w:pPr>
              <w:spacing w:before="0" w:after="80"/>
              <w:jc w:val="center"/>
            </w:pPr>
            <w:r>
              <w:rPr>
                <w:rFonts w:ascii="Times New Roman" w:hAnsi="Times New Roman"/>
                <w:b w:val="0"/>
                <w:i w:val="0"/>
                <w:sz w:val="18"/>
              </w:rPr>
              <w:t>(0.052)</w:t>
            </w:r>
          </w:p>
        </w:tc>
      </w:tr>
      <w:tr>
        <w:tc>
          <w:tcPr>
            <w:tcW w:type="dxa" w:w="6336"/>
            <w:tcBorders>
              <w:top w:val="nil"/>
              <w:left w:val="nil"/>
              <w:bottom w:val="nil"/>
              <w:right w:val="nil"/>
            </w:tcBorders>
          </w:tcPr>
          <w:p>
            <w:pPr>
              <w:spacing w:before="40" w:after="40"/>
              <w:jc w:val="left"/>
            </w:pPr>
            <w:r>
              <w:rPr>
                <w:rFonts w:ascii="Times New Roman" w:hAnsi="Times New Roman"/>
                <w:b w:val="0"/>
                <w:i w:val="0"/>
                <w:sz w:val="22"/>
              </w:rPr>
              <w:t>Nitrate Public Notification × Small Water System</w:t>
            </w:r>
          </w:p>
        </w:tc>
        <w:tc>
          <w:tcPr>
            <w:tcW w:type="dxa" w:w="3024"/>
            <w:tcBorders>
              <w:top w:val="nil"/>
              <w:left w:val="nil"/>
              <w:bottom w:val="nil"/>
              <w:right w:val="nil"/>
            </w:tcBorders>
          </w:tcPr>
          <w:p>
            <w:pPr>
              <w:spacing w:before="40" w:after="40"/>
              <w:jc w:val="center"/>
            </w:pPr>
            <w:r>
              <w:rPr>
                <w:rFonts w:ascii="Times New Roman" w:hAnsi="Times New Roman"/>
                <w:b w:val="0"/>
                <w:i w:val="0"/>
                <w:sz w:val="22"/>
              </w:rPr>
              <w:t>-0.031</w:t>
            </w:r>
          </w:p>
        </w:tc>
      </w:tr>
      <w:tr>
        <w:tc>
          <w:tcPr>
            <w:tcW w:type="dxa" w:w="6336"/>
            <w:tcBorders>
              <w:top w:val="nil"/>
              <w:left w:val="nil"/>
              <w:bottom w:val="nil"/>
              <w:right w:val="nil"/>
            </w:tcBorders>
          </w:tcPr>
          <w:p>
            <w:pPr>
              <w:spacing w:before="0" w:after="80"/>
              <w:jc w:val="left"/>
            </w:pPr>
            <w:r>
              <w:rPr>
                <w:rFonts w:ascii="Times New Roman" w:hAnsi="Times New Roman"/>
                <w:b w:val="0"/>
                <w:i w:val="0"/>
                <w:sz w:val="18"/>
              </w:rPr>
            </w:r>
          </w:p>
        </w:tc>
        <w:tc>
          <w:tcPr>
            <w:tcW w:type="dxa" w:w="3024"/>
            <w:tcBorders>
              <w:top w:val="nil"/>
              <w:left w:val="nil"/>
              <w:bottom w:val="nil"/>
              <w:right w:val="nil"/>
            </w:tcBorders>
          </w:tcPr>
          <w:p>
            <w:pPr>
              <w:spacing w:before="0" w:after="80"/>
              <w:jc w:val="center"/>
            </w:pPr>
            <w:r>
              <w:rPr>
                <w:rFonts w:ascii="Times New Roman" w:hAnsi="Times New Roman"/>
                <w:b w:val="0"/>
                <w:i w:val="0"/>
                <w:sz w:val="18"/>
              </w:rPr>
              <w:t>(0.028)</w:t>
            </w:r>
          </w:p>
        </w:tc>
      </w:tr>
      <w:tr>
        <w:tc>
          <w:tcPr>
            <w:tcW w:type="dxa" w:w="6336"/>
            <w:tcBorders>
              <w:top w:val="single" w:sz="4" w:space="0" w:color="auto"/>
              <w:left w:val="nil"/>
              <w:bottom w:val="nil"/>
              <w:right w:val="nil"/>
            </w:tcBorders>
          </w:tcPr>
          <w:p>
            <w:pPr>
              <w:spacing w:before="40" w:after="40"/>
              <w:jc w:val="left"/>
            </w:pPr>
            <w:r>
              <w:rPr>
                <w:rFonts w:ascii="Times New Roman" w:hAnsi="Times New Roman"/>
                <w:b w:val="0"/>
                <w:i w:val="0"/>
                <w:sz w:val="22"/>
              </w:rPr>
              <w:t>County and Year Fixed Effects</w:t>
            </w:r>
          </w:p>
        </w:tc>
        <w:tc>
          <w:tcPr>
            <w:tcW w:type="dxa" w:w="3024"/>
            <w:tcBorders>
              <w:top w:val="single" w:sz="4" w:space="0" w:color="auto"/>
              <w:left w:val="nil"/>
              <w:bottom w:val="nil"/>
              <w:right w:val="nil"/>
            </w:tcBorders>
          </w:tcPr>
          <w:p>
            <w:pPr>
              <w:spacing w:before="40" w:after="40"/>
              <w:jc w:val="center"/>
            </w:pPr>
            <w:r>
              <w:rPr>
                <w:rFonts w:ascii="Times New Roman" w:hAnsi="Times New Roman"/>
                <w:b w:val="0"/>
                <w:i w:val="0"/>
                <w:sz w:val="22"/>
              </w:rPr>
              <w:t>Yes</w:t>
            </w:r>
          </w:p>
        </w:tc>
      </w:tr>
      <w:tr>
        <w:tc>
          <w:tcPr>
            <w:tcW w:type="dxa" w:w="6336"/>
            <w:tcBorders>
              <w:top w:val="nil"/>
              <w:left w:val="nil"/>
              <w:bottom w:val="single" w:sz="12" w:space="0" w:color="auto"/>
              <w:right w:val="nil"/>
            </w:tcBorders>
          </w:tcPr>
          <w:p>
            <w:pPr>
              <w:spacing w:before="40" w:after="40"/>
              <w:jc w:val="left"/>
            </w:pPr>
            <w:r>
              <w:rPr>
                <w:rFonts w:ascii="Times New Roman" w:hAnsi="Times New Roman"/>
                <w:b w:val="0"/>
                <w:i w:val="0"/>
                <w:sz w:val="22"/>
              </w:rPr>
              <w:t>Number of Observations</w:t>
            </w:r>
          </w:p>
        </w:tc>
        <w:tc>
          <w:tcPr>
            <w:tcW w:type="dxa" w:w="3024"/>
            <w:tcBorders>
              <w:top w:val="nil"/>
              <w:left w:val="nil"/>
              <w:bottom w:val="single" w:sz="12" w:space="0" w:color="auto"/>
              <w:right w:val="nil"/>
            </w:tcBorders>
          </w:tcPr>
          <w:p>
            <w:pPr>
              <w:spacing w:before="40" w:after="40"/>
              <w:jc w:val="center"/>
            </w:pPr>
            <w:r>
              <w:rPr>
                <w:rFonts w:ascii="Times New Roman" w:hAnsi="Times New Roman"/>
                <w:b w:val="0"/>
                <w:i w:val="0"/>
                <w:sz w:val="22"/>
              </w:rPr>
              <w:t>2,875</w:t>
            </w:r>
          </w:p>
        </w:tc>
      </w:tr>
    </w:tbl>
    <w:p>
      <w:pPr>
        <w:spacing w:before="120"/>
        <w:jc w:val="both"/>
      </w:pPr>
      <w:r>
        <w:rPr>
          <w:rFonts w:ascii="Times New Roman" w:hAnsi="Times New Roman"/>
          <w:b/>
          <w:i w:val="0"/>
          <w:sz w:val="18"/>
        </w:rPr>
        <w:t xml:space="preserve">NOTES: </w:t>
      </w:r>
      <w:r>
        <w:rPr>
          <w:rFonts w:ascii="Times New Roman" w:hAnsi="Times New Roman"/>
          <w:b w:val="0"/>
          <w:i w:val="0"/>
          <w:sz w:val="18"/>
        </w:rPr>
        <w:t>Each observation is a community water system (CWS) in a given year, 2000 to 2024. Small Water System equals 1 for CWS serving 3,300 or fewer residents. The model is estimated using OLS and includes county and year fixed effects. Standard errors are clustered at the CWS level. Results are fictitious and only for demonstration purposes.</w:t>
      </w:r>
    </w:p>
    <w:p>
      <w:pPr>
        <w:spacing w:before="80"/>
      </w:pPr>
      <w:r>
        <w:rPr>
          <w:rFonts w:ascii="Times New Roman" w:hAnsi="Times New Roman"/>
          <w:b w:val="0"/>
          <w:i/>
          <w:sz w:val="18"/>
        </w:rPr>
        <w:t>* p&lt;0.1; ** p&lt;0.05; *** p&lt;0.01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Data Analysis Output</dc:title>
  <dc:subject/>
  <dc:creator>Taylor Mackay</dc:creator>
  <cp:keywords/>
  <dc:description/>
  <cp:lastModifiedBy>Taylor Mackay</cp:lastModifiedBy>
  <cp:revision>1</cp:revision>
  <dcterms:created xsi:type="dcterms:W3CDTF">2026-10-14T18:00:00Z</dcterms:created>
  <dcterms:modified xsi:type="dcterms:W3CDTF">2026-10-14T18:00:00Z</dcterms:modified>
  <cp:category/>
</cp:coreProperties>
</file>