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9111C" w14:textId="77777777" w:rsidR="007D0960" w:rsidRDefault="007D0960" w:rsidP="005D54CC">
      <w:pPr>
        <w:pStyle w:val="PlainText"/>
        <w:rPr>
          <w:rFonts w:ascii="Courier New" w:hAnsi="Courier New" w:cs="Courier New"/>
        </w:rPr>
      </w:pPr>
    </w:p>
    <w:p w14:paraId="5F88C7C9" w14:textId="2A02DDF0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Partner Dispute Resolution Assistant</w:t>
      </w:r>
    </w:p>
    <w:p w14:paraId="5256302B" w14:textId="4361B3E3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Purpose</w:t>
      </w:r>
    </w:p>
    <w:p w14:paraId="4F82C8B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675B38A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The Partner Dispute Resolution Assistant is a self-contained HTML prototype for demonstrating how Sales Operations could validate partner dispute cases, apply routing rules, and execute controlled next steps from one dashboard.</w:t>
      </w:r>
    </w:p>
    <w:p w14:paraId="3199112C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583488C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The prototype is intended to:</w:t>
      </w:r>
    </w:p>
    <w:p w14:paraId="7270BC58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69F66BA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Reduce manual review of routine partner dispute cases.</w:t>
      </w:r>
    </w:p>
    <w:p w14:paraId="2D8E122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Validate required case information before routing.</w:t>
      </w:r>
    </w:p>
    <w:p w14:paraId="3E5C675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distinguish between standard-response cases, Billing escalations, and specialist-review cases.</w:t>
      </w:r>
    </w:p>
    <w:p w14:paraId="79F585B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Generate a preview of the response, Billing ticket, or analyst handoff.</w:t>
      </w:r>
    </w:p>
    <w:p w14:paraId="5B189DA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Prevent a completed action from being executed more than once.</w:t>
      </w:r>
    </w:p>
    <w:p w14:paraId="5A6491B1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Demonstrate safeguards identified during Sales Operations QA testing.</w:t>
      </w:r>
    </w:p>
    <w:p w14:paraId="6C754C01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6AF1C0EA" w14:textId="28FBED9C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partner_dispute_dashboard_qa_fixed.html`: Interactive dashboard containing the interface, sample data, validation logic, policy-routing logic, and simulated actions.</w:t>
      </w:r>
    </w:p>
    <w:p w14:paraId="5782C94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`README.md`: Purpose, usage instructions, safeguards, and known limitations.</w:t>
      </w:r>
    </w:p>
    <w:p w14:paraId="4F70241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1C24B5BC" w14:textId="35E23F9B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How to Use</w:t>
      </w:r>
    </w:p>
    <w:p w14:paraId="475CB60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4AC0F8DF" w14:textId="43AEEE62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1. Open the dashboard</w:t>
      </w:r>
    </w:p>
    <w:p w14:paraId="68186F48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0C72090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Download `partner_dispute_dashboard_qa_fixed.html` and open it in a modern web browser such as Microsoft Edge or Google Chrome.</w:t>
      </w:r>
    </w:p>
    <w:p w14:paraId="0DD2272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52346DB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No installation, server, login, or external library is required.</w:t>
      </w:r>
    </w:p>
    <w:p w14:paraId="4062C77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288A4DD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### 2. Select a sample case</w:t>
      </w:r>
    </w:p>
    <w:p w14:paraId="5CD7DF88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60A73C5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Use the case work queue to select a case. The selected case will populate the form with:</w:t>
      </w:r>
    </w:p>
    <w:p w14:paraId="0AC3EBCC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1939981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Partner</w:t>
      </w:r>
    </w:p>
    <w:p w14:paraId="518BD5C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Customer</w:t>
      </w:r>
    </w:p>
    <w:p w14:paraId="7C9470E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Dispute type</w:t>
      </w:r>
    </w:p>
    <w:p w14:paraId="65BC50A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Disputed variance amount</w:t>
      </w:r>
    </w:p>
    <w:p w14:paraId="046F889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Invoice total</w:t>
      </w:r>
    </w:p>
    <w:p w14:paraId="45D8B65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Expected amount</w:t>
      </w:r>
    </w:p>
    <w:p w14:paraId="25D90AF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Billing Agreement number</w:t>
      </w:r>
    </w:p>
    <w:p w14:paraId="128779C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Account number</w:t>
      </w:r>
    </w:p>
    <w:p w14:paraId="7256C5E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Deal ID</w:t>
      </w:r>
    </w:p>
    <w:p w14:paraId="05F2A16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Opportunity number</w:t>
      </w:r>
    </w:p>
    <w:p w14:paraId="4827DE7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Partner inquiry</w:t>
      </w:r>
    </w:p>
    <w:p w14:paraId="3C8F3FF8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5E95EFC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Use the search box or status filter to narrow the work queue.</w:t>
      </w:r>
    </w:p>
    <w:p w14:paraId="391C613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10CB20A1" w14:textId="63D74280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3. Review the financial values</w:t>
      </w:r>
    </w:p>
    <w:p w14:paraId="5BAF6E31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423465C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Confirm that **Disputed variance amount** represents the amount being challenged, not the full invoice amount.</w:t>
      </w:r>
    </w:p>
    <w:p w14:paraId="084F1B3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5DD457C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The dashboard checks that:</w:t>
      </w:r>
    </w:p>
    <w:p w14:paraId="363994F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5A1394E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variance is zero or greater.</w:t>
      </w:r>
    </w:p>
    <w:p w14:paraId="3C433F7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variance does not exceed the invoice total.</w:t>
      </w:r>
    </w:p>
    <w:p w14:paraId="7AE6E69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variance equals the absolute difference between Invoice Total and Expected Amount.</w:t>
      </w:r>
    </w:p>
    <w:p w14:paraId="0728FC5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4A651BD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Select the variance confirmation checkbox after reviewing the values.</w:t>
      </w:r>
    </w:p>
    <w:p w14:paraId="23E94A6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47D89967" w14:textId="541F179E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4. Review the case identifiers</w:t>
      </w:r>
    </w:p>
    <w:p w14:paraId="5B81D68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1F1048F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The dashboard validates the expected sample formats:</w:t>
      </w:r>
    </w:p>
    <w:p w14:paraId="4ECC2DF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0A0BDE0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Billing Agreement: `BA-12345`</w:t>
      </w:r>
    </w:p>
    <w:p w14:paraId="0450A99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Account: `AC-12345`</w:t>
      </w:r>
    </w:p>
    <w:p w14:paraId="258644B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Deal: `DL-12345`</w:t>
      </w:r>
    </w:p>
    <w:p w14:paraId="2B080CC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Opportunity: `OPP-12345`</w:t>
      </w:r>
    </w:p>
    <w:p w14:paraId="6EDF33B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03D0C6C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For included sample cases, the dashboard also checks that the identifiers match the selected sample source record.</w:t>
      </w:r>
    </w:p>
    <w:p w14:paraId="7B65C5E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0A674A47" w14:textId="47D9F08C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5. Acknowledge the provisional policy rule</w:t>
      </w:r>
    </w:p>
    <w:p w14:paraId="3799415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0D6D4FC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The handwritten source process did not define how a discrepancy of exactly $2,000 should be handled. The prototype assumes </w:t>
      </w:r>
      <w:proofErr w:type="gramStart"/>
      <w:r w:rsidRPr="005D54CC">
        <w:rPr>
          <w:rFonts w:ascii="Courier New" w:hAnsi="Courier New" w:cs="Courier New"/>
        </w:rPr>
        <w:t>that **</w:t>
      </w:r>
      <w:proofErr w:type="gramEnd"/>
      <w:r w:rsidRPr="005D54CC">
        <w:rPr>
          <w:rFonts w:ascii="Courier New" w:hAnsi="Courier New" w:cs="Courier New"/>
        </w:rPr>
        <w:t>$2,000 or more routes to Billing**.</w:t>
      </w:r>
    </w:p>
    <w:p w14:paraId="359A213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4FA17D8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For Billing / Invoicing Questions, select the threshold acknowledgment checkbox before applying the policy. This acknowledgment does not constitute formal policy approval.</w:t>
      </w:r>
    </w:p>
    <w:p w14:paraId="3971AEE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594EDFDA" w14:textId="0EEE1722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6. Validate and apply policy</w:t>
      </w:r>
    </w:p>
    <w:p w14:paraId="41EEA08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A9188A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Select **Validate and apply policy**.</w:t>
      </w:r>
    </w:p>
    <w:p w14:paraId="3C34433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3C025E1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The dashboard will block the action if:</w:t>
      </w:r>
    </w:p>
    <w:p w14:paraId="41E016B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4CD3F7B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variance is inconsistent with the invoice and expected amounts.</w:t>
      </w:r>
    </w:p>
    <w:p w14:paraId="7AD413A1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variance exceeds the invoice total.</w:t>
      </w:r>
    </w:p>
    <w:p w14:paraId="3501FF0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A required confirmation is missing.</w:t>
      </w:r>
    </w:p>
    <w:p w14:paraId="28A0720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An identifier has an invalid format.</w:t>
      </w:r>
    </w:p>
    <w:p w14:paraId="2E44286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An identifier does not match the selected sample record.</w:t>
      </w:r>
    </w:p>
    <w:p w14:paraId="07CEBC6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case has already been actioned.</w:t>
      </w:r>
    </w:p>
    <w:p w14:paraId="211F869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517B961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If validation passes, the dashboard recommends one of the following paths:</w:t>
      </w:r>
    </w:p>
    <w:p w14:paraId="0D39C98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CF4D2FF" w14:textId="40652585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Standard response and close</w:t>
      </w:r>
    </w:p>
    <w:p w14:paraId="574F7F1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1FCC6CC1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lastRenderedPageBreak/>
        <w:t>Used for a complete Billing / Invoicing Question with a disputed variance below $2,000.</w:t>
      </w:r>
    </w:p>
    <w:p w14:paraId="0074ED3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20BC832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The simulation:</w:t>
      </w:r>
    </w:p>
    <w:p w14:paraId="7AFFA5BC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3C8628B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Generates a standard-response preview.</w:t>
      </w:r>
    </w:p>
    <w:p w14:paraId="01D445F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Assigns the reason code `Billing Questions`.</w:t>
      </w:r>
    </w:p>
    <w:p w14:paraId="478C5CD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Assigns the resolution code `No Adjustment Required`.</w:t>
      </w:r>
    </w:p>
    <w:p w14:paraId="6ED2444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Changes the case status to `Closed`.</w:t>
      </w:r>
    </w:p>
    <w:p w14:paraId="1391392C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Locks the case against duplicate execution.</w:t>
      </w:r>
    </w:p>
    <w:p w14:paraId="454B1271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6C0F6180" w14:textId="035D3CFB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Create Billing ticket</w:t>
      </w:r>
    </w:p>
    <w:p w14:paraId="251C4D4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49CD9EA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Used for a complete Billing / Invoicing Question with a disputed variance of $2,000 or more under the prototype assumption.</w:t>
      </w:r>
    </w:p>
    <w:p w14:paraId="704BF17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2C7B2DA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The simulation:</w:t>
      </w:r>
    </w:p>
    <w:p w14:paraId="0C94691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349175D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Generates a Billing-ticket payload.</w:t>
      </w:r>
    </w:p>
    <w:p w14:paraId="4B63BAE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Includes the case and validated identifiers.</w:t>
      </w:r>
    </w:p>
    <w:p w14:paraId="4C0660C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Changes the case status to `Billing ticket created`.</w:t>
      </w:r>
    </w:p>
    <w:p w14:paraId="2BBA7301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Locks the case against duplicate execution.</w:t>
      </w:r>
    </w:p>
    <w:p w14:paraId="2ADAAB41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21E8B7CE" w14:textId="2AF91E9C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Route to analyst</w:t>
      </w:r>
    </w:p>
    <w:p w14:paraId="77E00F7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69BEE3F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Used for dispute types without an automated policy rule, such as Commission Dispute or Registration Dispute.</w:t>
      </w:r>
    </w:p>
    <w:p w14:paraId="5B3D0F9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508BF3E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The simulation:</w:t>
      </w:r>
    </w:p>
    <w:p w14:paraId="24192C9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4D0EC8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Generates an analyst-handoff preview.</w:t>
      </w:r>
    </w:p>
    <w:p w14:paraId="0E0FF0E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Changes the case status to `</w:t>
      </w:r>
      <w:proofErr w:type="spellStart"/>
      <w:r w:rsidRPr="005D54CC">
        <w:rPr>
          <w:rFonts w:ascii="Courier New" w:hAnsi="Courier New" w:cs="Courier New"/>
        </w:rPr>
        <w:t>Routed</w:t>
      </w:r>
      <w:proofErr w:type="spellEnd"/>
      <w:r w:rsidRPr="005D54CC">
        <w:rPr>
          <w:rFonts w:ascii="Courier New" w:hAnsi="Courier New" w:cs="Courier New"/>
        </w:rPr>
        <w:t xml:space="preserve"> to analyst`.</w:t>
      </w:r>
    </w:p>
    <w:p w14:paraId="1499CEB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Locks the case against duplicate execution.</w:t>
      </w:r>
    </w:p>
    <w:p w14:paraId="6B9C4BE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66189556" w14:textId="32180DB4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7. </w:t>
      </w:r>
      <w:proofErr w:type="gramStart"/>
      <w:r w:rsidRPr="005D54CC">
        <w:rPr>
          <w:rFonts w:ascii="Courier New" w:hAnsi="Courier New" w:cs="Courier New"/>
        </w:rPr>
        <w:t>Review</w:t>
      </w:r>
      <w:proofErr w:type="gramEnd"/>
      <w:r w:rsidRPr="005D54CC">
        <w:rPr>
          <w:rFonts w:ascii="Courier New" w:hAnsi="Courier New" w:cs="Courier New"/>
        </w:rPr>
        <w:t xml:space="preserve"> action history and metrics</w:t>
      </w:r>
    </w:p>
    <w:p w14:paraId="5825FBE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443DA9D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Completed actions appear in </w:t>
      </w:r>
      <w:proofErr w:type="gramStart"/>
      <w:r w:rsidRPr="005D54CC">
        <w:rPr>
          <w:rFonts w:ascii="Courier New" w:hAnsi="Courier New" w:cs="Courier New"/>
        </w:rPr>
        <w:t>the Action</w:t>
      </w:r>
      <w:proofErr w:type="gramEnd"/>
      <w:r w:rsidRPr="005D54CC">
        <w:rPr>
          <w:rFonts w:ascii="Courier New" w:hAnsi="Courier New" w:cs="Courier New"/>
        </w:rPr>
        <w:t xml:space="preserve"> History with a unique action ID.</w:t>
      </w:r>
    </w:p>
    <w:p w14:paraId="0CA90CD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4C5EAAB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Dashboard metrics update as actions are completed. The **Illustrative touches avoided** metric is a planning estimate only. It is not measured productivity, time savings, cost savings, or headcount reduction.</w:t>
      </w:r>
    </w:p>
    <w:p w14:paraId="66C7E5B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1DC3FF36" w14:textId="5FD293B9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8. Reset the demonstration</w:t>
      </w:r>
    </w:p>
    <w:p w14:paraId="032285C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5E72B78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Select **Reset demo** to restore all sample cases and clear the action history.</w:t>
      </w:r>
    </w:p>
    <w:p w14:paraId="71F76B2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3BD73926" w14:textId="2C79F82D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Safeguards Included</w:t>
      </w:r>
    </w:p>
    <w:p w14:paraId="4AB8294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1613F3F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The current prototype includes controls for five high-priority QA risks:</w:t>
      </w:r>
    </w:p>
    <w:p w14:paraId="1683118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3D44A78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1. **Unconfirmed $2,000 policy threshold**</w:t>
      </w:r>
    </w:p>
    <w:p w14:paraId="0DDCFD48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Displays a persistent policy warning.</w:t>
      </w:r>
    </w:p>
    <w:p w14:paraId="71ED6EF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Requires user acknowledgment.</w:t>
      </w:r>
    </w:p>
    <w:p w14:paraId="3CC6382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lastRenderedPageBreak/>
        <w:t xml:space="preserve">   - Labels the rule as provisional.</w:t>
      </w:r>
    </w:p>
    <w:p w14:paraId="1B65A60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259E732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2. **Incorrect disputed variance amount**</w:t>
      </w:r>
    </w:p>
    <w:p w14:paraId="4AB412C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Separates variance, invoice total, and expected amount.</w:t>
      </w:r>
    </w:p>
    <w:p w14:paraId="794243CC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Recalculates the expected variance.</w:t>
      </w:r>
    </w:p>
    <w:p w14:paraId="7E2FD69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Requires </w:t>
      </w:r>
      <w:proofErr w:type="gramStart"/>
      <w:r w:rsidRPr="005D54CC">
        <w:rPr>
          <w:rFonts w:ascii="Courier New" w:hAnsi="Courier New" w:cs="Courier New"/>
        </w:rPr>
        <w:t>an explicit</w:t>
      </w:r>
      <w:proofErr w:type="gramEnd"/>
      <w:r w:rsidRPr="005D54CC">
        <w:rPr>
          <w:rFonts w:ascii="Courier New" w:hAnsi="Courier New" w:cs="Courier New"/>
        </w:rPr>
        <w:t xml:space="preserve"> user confirmation.</w:t>
      </w:r>
    </w:p>
    <w:p w14:paraId="0C47D42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3AA243F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3. **Invalid required-field values**</w:t>
      </w:r>
    </w:p>
    <w:p w14:paraId="7E16413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Checks identifier formats.</w:t>
      </w:r>
    </w:p>
    <w:p w14:paraId="36D160D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Checks identifiers against the selected sample record.</w:t>
      </w:r>
    </w:p>
    <w:p w14:paraId="197D851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F68249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4. **Duplicate action execution**</w:t>
      </w:r>
    </w:p>
    <w:p w14:paraId="59508F2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Locks completed cases.</w:t>
      </w:r>
    </w:p>
    <w:p w14:paraId="029053A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Prevents a second response, ticket, or handoff from being generated as a new action.</w:t>
      </w:r>
    </w:p>
    <w:p w14:paraId="75E55BD8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Records a unique action ID.</w:t>
      </w:r>
    </w:p>
    <w:p w14:paraId="7B01602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ED3DF6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5. **Productivity metric misinterpretation**</w:t>
      </w:r>
    </w:p>
    <w:p w14:paraId="212FA8F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Uses the label `Illustrative touches avoided`.</w:t>
      </w:r>
    </w:p>
    <w:p w14:paraId="3C7237D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   - States that the value is a planning estimate, not measured savings.</w:t>
      </w:r>
    </w:p>
    <w:p w14:paraId="04D515B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DAEC27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## Known Limits</w:t>
      </w:r>
    </w:p>
    <w:p w14:paraId="3466C61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65CA343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### Prototype and data limits</w:t>
      </w:r>
    </w:p>
    <w:p w14:paraId="19416C2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DE010E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All case information is synthetic sample data.</w:t>
      </w:r>
    </w:p>
    <w:p w14:paraId="17F45E5C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dashboard supports only the cases embedded in the HTML file.</w:t>
      </w:r>
    </w:p>
    <w:p w14:paraId="14D4A20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Changes remain in browser memory and are lost when the page is refreshed or closed.</w:t>
      </w:r>
    </w:p>
    <w:p w14:paraId="3C57A4C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Resetting the demo restores the original sample cases and clears the action history.</w:t>
      </w:r>
    </w:p>
    <w:p w14:paraId="09594AC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prototype does not support importing, exporting, or saving case data.</w:t>
      </w:r>
    </w:p>
    <w:p w14:paraId="419657A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3FADBE0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### Integration limits</w:t>
      </w:r>
    </w:p>
    <w:p w14:paraId="0760891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1D76CED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No Salesforce cases are read or updated.</w:t>
      </w:r>
    </w:p>
    <w:p w14:paraId="71EA6931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No Partner Central submissions are retrieved.</w:t>
      </w:r>
    </w:p>
    <w:p w14:paraId="48D2818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No email is sent to a partner.</w:t>
      </w:r>
    </w:p>
    <w:p w14:paraId="4EBED95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No Billing ticket is created in a production ticketing system.</w:t>
      </w:r>
    </w:p>
    <w:p w14:paraId="0AA520F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No queue assignment occurs outside the browser.</w:t>
      </w:r>
    </w:p>
    <w:p w14:paraId="7BEEAAAC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Generated outputs are simulations and previews only.</w:t>
      </w:r>
    </w:p>
    <w:p w14:paraId="0E168DDC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124CF0B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### Policy limits</w:t>
      </w:r>
    </w:p>
    <w:p w14:paraId="2CBA5985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04090508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exact-$2,000 rule is an assumption, not confirmed policy.</w:t>
      </w:r>
    </w:p>
    <w:p w14:paraId="6912C2D8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prototype applies automated billing routing only to `Billing / Invoicing Questions`.</w:t>
      </w:r>
    </w:p>
    <w:p w14:paraId="0FC9C87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tool does not contain complete decision rules for commission, registration, attribution, payment, or other dispute types.</w:t>
      </w:r>
    </w:p>
    <w:p w14:paraId="4B1D2C1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Reason and resolution codes have not been validated against an authoritative Salesforce picklist or governance document.</w:t>
      </w:r>
    </w:p>
    <w:p w14:paraId="39314F8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prototype does not determine whether the invoice is financially correct. It validates data consistency and demonstrates policy routing.</w:t>
      </w:r>
    </w:p>
    <w:p w14:paraId="33C52B2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2E15AF6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### Validation limits</w:t>
      </w:r>
    </w:p>
    <w:p w14:paraId="10F7687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E6ECFA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Identifier validation uses expected text patterns and the embedded sample record. It does not query authoritative source systems.</w:t>
      </w:r>
    </w:p>
    <w:p w14:paraId="7C22201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A correctly formatted identifier could still be invalid in a production environment.</w:t>
      </w:r>
    </w:p>
    <w:p w14:paraId="44374444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prototype does not verify that the customer, agreement, account, deal, and opportunity are related in Salesforce or Billing.</w:t>
      </w:r>
    </w:p>
    <w:p w14:paraId="1742BA0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tool does not inspect invoices, contracts, supporting documents, payment records, tax treatment, currencies, or billing schedules.</w:t>
      </w:r>
    </w:p>
    <w:p w14:paraId="75E833E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tool does not validate attachments or detect missing evidence.</w:t>
      </w:r>
    </w:p>
    <w:p w14:paraId="681CF59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tool assumes the invoice and expected amounts entered by the user are accurate.</w:t>
      </w:r>
    </w:p>
    <w:p w14:paraId="3A05C03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09AC30E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### Security and control limits</w:t>
      </w:r>
    </w:p>
    <w:p w14:paraId="2DDD2B3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18CEDAC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There is no authentication, authorization, user-role control, or approval workflow.</w:t>
      </w:r>
    </w:p>
    <w:p w14:paraId="52AB03C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There is no production-grade audit log or immutable transaction history.</w:t>
      </w:r>
    </w:p>
    <w:p w14:paraId="05BD48E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There is no separation of duties between the user validating a case and the user executing an action.</w:t>
      </w:r>
    </w:p>
    <w:p w14:paraId="49A1BA2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The prototype is not designed to store confidential, personal, customer, contractual, or financial data.</w:t>
      </w:r>
    </w:p>
    <w:p w14:paraId="5C70336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Browser-based controls can be modified by someone with access to developer tools and are not a substitute for server-side validation.</w:t>
      </w:r>
    </w:p>
    <w:p w14:paraId="5770D53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Input values are intended for demonstration only and have not undergone a production security review.</w:t>
      </w:r>
    </w:p>
    <w:p w14:paraId="1EAFFD1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608E177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### Reporting limits</w:t>
      </w:r>
    </w:p>
    <w:p w14:paraId="46278A46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75F068E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Dashboard metrics describe the current browser session only.</w:t>
      </w:r>
    </w:p>
    <w:p w14:paraId="22F679EF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`Illustrative touches avoided` uses assumed values rather than observed process data.</w:t>
      </w:r>
    </w:p>
    <w:p w14:paraId="64B088E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- Metrics should not be used for financial planning, ROI claims, staffing decisions, performance evaluation, or production reporting.</w:t>
      </w:r>
    </w:p>
    <w:p w14:paraId="638035B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489AAC9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## Recommended Requirements Before Production</w:t>
      </w:r>
    </w:p>
    <w:p w14:paraId="70DBEC4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40044E5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Before production deployment, the business and technical owners should:</w:t>
      </w:r>
    </w:p>
    <w:p w14:paraId="003D29E9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457D70C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1. Approve the treatment of a discrepancy equal to exactly $2,000.</w:t>
      </w:r>
    </w:p>
    <w:p w14:paraId="785BCD9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2. Confirm whether the threshold is based on variance, invoice total, currency, or another value.</w:t>
      </w:r>
    </w:p>
    <w:p w14:paraId="74EC1A6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3. Establish currency-conversion handling and rounding rules.</w:t>
      </w:r>
    </w:p>
    <w:p w14:paraId="20BD28B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4. Validate reason and resolution codes against Salesforce governance.</w:t>
      </w:r>
    </w:p>
    <w:p w14:paraId="13CF21B0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5. Define complete rules for all supported dispute types.</w:t>
      </w:r>
    </w:p>
    <w:p w14:paraId="0C4C1B6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6. Integrate with authoritative Salesforce, agreement, account, opportunity, invoice, and Billing data.</w:t>
      </w:r>
    </w:p>
    <w:p w14:paraId="5EC5112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7. Require server-side validation and relationship checks.</w:t>
      </w:r>
    </w:p>
    <w:p w14:paraId="49308007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8. Add role-based access, approvals, audit logging, and controlled reopen functionality.</w:t>
      </w:r>
    </w:p>
    <w:p w14:paraId="64AC6B7A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lastRenderedPageBreak/>
        <w:t>9. Add idempotency controls so repeated requests cannot create duplicate external transactions.</w:t>
      </w:r>
    </w:p>
    <w:p w14:paraId="45A4067B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10. Define data-retention, confidentiality, security, and compliance requirements.</w:t>
      </w:r>
    </w:p>
    <w:p w14:paraId="40996A62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11. Measure actual handling time and process touches before publishing efficiency or savings metrics.</w:t>
      </w:r>
    </w:p>
    <w:p w14:paraId="5893194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12. Complete user acceptance testing with Channel Operations, Billing, Finance, Partner Support, and system owners.</w:t>
      </w:r>
    </w:p>
    <w:p w14:paraId="1E3E87CD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5FEC7B5E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>## Important Disclaimer</w:t>
      </w:r>
    </w:p>
    <w:p w14:paraId="0E45B253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</w:p>
    <w:p w14:paraId="22D6C038" w14:textId="77777777" w:rsidR="00000000" w:rsidRPr="005D54CC" w:rsidRDefault="00000000" w:rsidP="005D54CC">
      <w:pPr>
        <w:pStyle w:val="PlainText"/>
        <w:rPr>
          <w:rFonts w:ascii="Courier New" w:hAnsi="Courier New" w:cs="Courier New"/>
        </w:rPr>
      </w:pPr>
      <w:r w:rsidRPr="005D54CC">
        <w:rPr>
          <w:rFonts w:ascii="Courier New" w:hAnsi="Courier New" w:cs="Courier New"/>
        </w:rPr>
        <w:t xml:space="preserve">This dashboard is a demonstration prototype. </w:t>
      </w:r>
      <w:proofErr w:type="gramStart"/>
      <w:r w:rsidRPr="005D54CC">
        <w:rPr>
          <w:rFonts w:ascii="Courier New" w:hAnsi="Courier New" w:cs="Courier New"/>
        </w:rPr>
        <w:t>A successful</w:t>
      </w:r>
      <w:proofErr w:type="gramEnd"/>
      <w:r w:rsidRPr="005D54CC">
        <w:rPr>
          <w:rFonts w:ascii="Courier New" w:hAnsi="Courier New" w:cs="Courier New"/>
        </w:rPr>
        <w:t xml:space="preserve"> validation means that the entered data passed the prototype's checks. It does not prove that an invoice, commission, payment, registration, or financial conclusion is correct.</w:t>
      </w:r>
    </w:p>
    <w:p w14:paraId="2398E250" w14:textId="77777777" w:rsidR="00367AF9" w:rsidRPr="005D54CC" w:rsidRDefault="00367AF9" w:rsidP="005D54CC">
      <w:pPr>
        <w:pStyle w:val="PlainText"/>
        <w:rPr>
          <w:rFonts w:ascii="Courier New" w:hAnsi="Courier New" w:cs="Courier New"/>
        </w:rPr>
      </w:pPr>
    </w:p>
    <w:sectPr w:rsidR="00367AF9" w:rsidRPr="005D54CC" w:rsidSect="005D54C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7C"/>
    <w:rsid w:val="00367AF9"/>
    <w:rsid w:val="005D54CC"/>
    <w:rsid w:val="00616940"/>
    <w:rsid w:val="0077227C"/>
    <w:rsid w:val="007D0960"/>
    <w:rsid w:val="00A7123A"/>
    <w:rsid w:val="00C63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B140"/>
  <w15:chartTrackingRefBased/>
  <w15:docId w15:val="{A7CE5759-C250-42D8-9A6D-7B049D712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D54C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D54C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1465</Words>
  <Characters>8357</Characters>
  <Application>Microsoft Office Word</Application>
  <DocSecurity>0</DocSecurity>
  <Lines>69</Lines>
  <Paragraphs>19</Paragraphs>
  <ScaleCrop>false</ScaleCrop>
  <Company>EQUINIX</Company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Megan Ackerley</dc:creator>
  <cp:keywords/>
  <dc:description/>
  <cp:lastModifiedBy>Megan Ackerley</cp:lastModifiedBy>
  <cp:revision>2</cp:revision>
  <dcterms:created xsi:type="dcterms:W3CDTF">2026-09-23T21:12:00Z</dcterms:created>
  <dcterms:modified xsi:type="dcterms:W3CDTF">2026-09-23T21:12:00Z</dcterms:modified>
</cp:coreProperties>
</file>