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3967" w14:textId="1E2D04FD" w:rsidR="00B40F81" w:rsidRDefault="00CA7264">
      <w:pPr>
        <w:pStyle w:val="Title"/>
      </w:pPr>
      <w:r>
        <w:t>Northern Pikeminnow Abundance in Deadwater Slough, Salmon River, Idaho, and Potential Impacts to Local Chinook Salmon</w:t>
      </w:r>
    </w:p>
    <w:p w14:paraId="1496F1E6" w14:textId="77777777" w:rsidR="00B40F81" w:rsidRDefault="00CA7264">
      <w:pPr>
        <w:pStyle w:val="Author"/>
      </w:pPr>
      <w:r>
        <w:t>Michael W. Ackerman</w:t>
      </w:r>
      <w:r>
        <w:rPr>
          <w:vertAlign w:val="superscript"/>
        </w:rPr>
        <w:t>1,</w:t>
      </w:r>
      <w:proofErr w:type="gramStart"/>
      <w:r>
        <w:rPr>
          <w:vertAlign w:val="superscript"/>
        </w:rPr>
        <w:t>2,✉</w:t>
      </w:r>
      <w:proofErr w:type="gramEnd"/>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DCAB0FC" w14:textId="77777777" w:rsidR="00B40F81" w:rsidRDefault="00CA7264">
      <w:pPr>
        <w:pStyle w:val="Date"/>
      </w:pPr>
      <w:r>
        <w:t>12 April, 2022</w:t>
      </w:r>
    </w:p>
    <w:p w14:paraId="63F4A8BC" w14:textId="77777777" w:rsidR="00B40F81" w:rsidRDefault="00CA7264">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3BFA116F" w14:textId="162D7A4E" w:rsidR="00B40F81" w:rsidRDefault="00CA7264">
      <w:pPr>
        <w:pStyle w:val="BodyText"/>
        <w:rPr>
          <w:rStyle w:val="Hyperlink"/>
        </w:rPr>
      </w:pPr>
      <w:r>
        <w:rPr>
          <w:vertAlign w:val="superscript"/>
        </w:rPr>
        <w:t>✉</w:t>
      </w:r>
      <w:r>
        <w:t xml:space="preserve"> Correspondence: </w:t>
      </w:r>
      <w:hyperlink r:id="rId8">
        <w:r>
          <w:rPr>
            <w:rStyle w:val="Hyperlink"/>
          </w:rPr>
          <w:t>Michael W. Ackerman &lt;</w:t>
        </w:r>
        <w:hyperlink r:id="rId9">
          <w:r>
            <w:rPr>
              <w:rStyle w:val="Hyperlink"/>
            </w:rPr>
            <w:t>mike.ackerman@mthoodenvironmental.com</w:t>
          </w:r>
        </w:hyperlink>
        <w:r>
          <w:rPr>
            <w:rStyle w:val="Hyperlink"/>
          </w:rPr>
          <w:t>&gt;</w:t>
        </w:r>
      </w:hyperlink>
    </w:p>
    <w:p w14:paraId="7BC56A83" w14:textId="3BC33B02" w:rsidR="00470DA8" w:rsidRDefault="00470DA8">
      <w:pPr>
        <w:pStyle w:val="BodyText"/>
      </w:pPr>
      <w:r>
        <w:t xml:space="preserve">Running Head: Northern Pikeminnow in </w:t>
      </w:r>
      <w:proofErr w:type="spellStart"/>
      <w:r>
        <w:t>Deadwater</w:t>
      </w:r>
      <w:proofErr w:type="spellEnd"/>
      <w:r>
        <w:t xml:space="preserve"> Slough</w:t>
      </w:r>
    </w:p>
    <w:p w14:paraId="037BA0B3" w14:textId="1BFE09A9" w:rsidR="00B40F81" w:rsidRDefault="00CA7264">
      <w:pPr>
        <w:pStyle w:val="BodyText"/>
      </w:pPr>
      <w:r>
        <w:t>Keywords: Northern Pikeminnow; Chinook Salmon; predation; mark-recapture; bioenergetics</w:t>
      </w:r>
    </w:p>
    <w:p w14:paraId="38D0B08B" w14:textId="77777777" w:rsidR="00B40F81" w:rsidRDefault="00CA7264">
      <w:r>
        <w:br w:type="page"/>
      </w:r>
    </w:p>
    <w:p w14:paraId="4FF166AF" w14:textId="04F30E21" w:rsidR="00711654" w:rsidRDefault="00711654">
      <w:pPr>
        <w:pStyle w:val="Heading2"/>
      </w:pPr>
      <w:bookmarkStart w:id="0" w:name="abstract"/>
      <w:r>
        <w:lastRenderedPageBreak/>
        <w:t>Impact Statement</w:t>
      </w:r>
    </w:p>
    <w:p w14:paraId="77352536" w14:textId="3E2543E4" w:rsidR="00711654" w:rsidRPr="00711654" w:rsidRDefault="00711654" w:rsidP="00711654">
      <w:pPr>
        <w:pStyle w:val="BodyText"/>
      </w:pPr>
      <w:r>
        <w:t>A large population of Northern Pikeminnow in a slow-water reach of the Salmon River, Idaho can potentially consume large numbers of juvenile Chinook Salmon, hindering ongoing recovery efforts.</w:t>
      </w:r>
    </w:p>
    <w:p w14:paraId="3911A335" w14:textId="7FF75E81" w:rsidR="00B40F81" w:rsidRDefault="00CA7264">
      <w:pPr>
        <w:pStyle w:val="Heading2"/>
      </w:pPr>
      <w:r>
        <w:t>Abstract</w:t>
      </w:r>
    </w:p>
    <w:p w14:paraId="74AEF281" w14:textId="77777777" w:rsidR="00B40F81" w:rsidRDefault="00CA7264">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w:t>
      </w:r>
      <w:r>
        <w:lastRenderedPageBreak/>
        <w:t>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14:paraId="415CFA34" w14:textId="77777777" w:rsidR="00083663" w:rsidRDefault="00083663">
      <w:pPr>
        <w:spacing w:line="240" w:lineRule="auto"/>
        <w:rPr>
          <w:rFonts w:eastAsiaTheme="majorEastAsia" w:cstheme="majorBidi"/>
          <w:b/>
          <w:bCs/>
          <w:caps/>
          <w:color w:val="000000" w:themeColor="text1"/>
          <w:sz w:val="32"/>
          <w:szCs w:val="32"/>
        </w:rPr>
      </w:pPr>
      <w:bookmarkStart w:id="1" w:name="introduction"/>
      <w:bookmarkEnd w:id="0"/>
      <w:r>
        <w:br w:type="page"/>
      </w:r>
    </w:p>
    <w:p w14:paraId="769A3F4A" w14:textId="507205FF" w:rsidR="00B40F81" w:rsidRDefault="00CA7264">
      <w:pPr>
        <w:pStyle w:val="Heading1"/>
      </w:pPr>
      <w:r>
        <w:lastRenderedPageBreak/>
        <w:t>Introduction</w:t>
      </w:r>
    </w:p>
    <w:p w14:paraId="167AE09D" w14:textId="77777777" w:rsidR="00B40F81" w:rsidRDefault="00CA7264">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03079BB7" w14:textId="77777777" w:rsidR="00B40F81" w:rsidRDefault="00CA7264">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thus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55ED6331" w14:textId="77777777" w:rsidR="00B40F81" w:rsidRDefault="00CA7264">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populations, the endangered Snake River Sockeye Salmon </w:t>
      </w:r>
      <w:r>
        <w:rPr>
          <w:i/>
          <w:iCs/>
        </w:rPr>
        <w:t>O. nerka</w:t>
      </w:r>
      <w:r>
        <w:t xml:space="preserve"> population (Axel et al. 2015), and several populations of threatened Snake River steelhead. The slough is also inhabited by piscivorous predators, including Northern Pikeminnow and Smallmouth Bass </w:t>
      </w:r>
      <w:r>
        <w:rPr>
          <w:i/>
          <w:iCs/>
        </w:rPr>
        <w:t>Micropterus dolomieu</w:t>
      </w:r>
      <w:r>
        <w:t>, that are potential sources of mortality for rearing and migrating salmonids.</w:t>
      </w:r>
    </w:p>
    <w:p w14:paraId="0F0332FC" w14:textId="77777777" w:rsidR="00B40F81" w:rsidRDefault="00CA7264">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08C7B269" w14:textId="77777777" w:rsidR="00B40F81" w:rsidRDefault="00CA7264">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upstream populations including fall DSR and spring NRR migrants.</w:t>
      </w:r>
    </w:p>
    <w:p w14:paraId="701416D8" w14:textId="77777777" w:rsidR="00B40F81" w:rsidRDefault="00CA7264">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4DBD5F38" w14:textId="77777777" w:rsidR="00B40F81" w:rsidRDefault="00CA7264">
      <w:pPr>
        <w:pStyle w:val="BodyText"/>
      </w:pPr>
      <w:r>
        <w:t>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14:paraId="74FABFD5" w14:textId="77777777" w:rsidR="00B40F81" w:rsidRDefault="00CA7264">
      <w:pPr>
        <w:pStyle w:val="Compact"/>
        <w:numPr>
          <w:ilvl w:val="0"/>
          <w:numId w:val="15"/>
        </w:numPr>
      </w:pPr>
      <w:r>
        <w:t>Estimate the abundance of Northern Pikeminnow in Deadwater Slough during the peaks of fall DSR and spring NRR juvenile emigrations;</w:t>
      </w:r>
    </w:p>
    <w:p w14:paraId="529E3C13" w14:textId="77777777" w:rsidR="00B40F81" w:rsidRDefault="00CA7264">
      <w:pPr>
        <w:pStyle w:val="Compact"/>
        <w:numPr>
          <w:ilvl w:val="0"/>
          <w:numId w:val="15"/>
        </w:numPr>
      </w:pPr>
      <w:r>
        <w:t>Document predation on juvenile Chinook Salmon during the DSR and NRR emigration periods using gastric lavage;</w:t>
      </w:r>
    </w:p>
    <w:p w14:paraId="1B737BBF" w14:textId="77777777" w:rsidR="00B40F81" w:rsidRDefault="00CA7264">
      <w:pPr>
        <w:pStyle w:val="Compact"/>
        <w:numPr>
          <w:ilvl w:val="0"/>
          <w:numId w:val="15"/>
        </w:numPr>
      </w:pPr>
      <w:r>
        <w:t>Use an established bioenergetics approach to estimate consumption potential (grams) of the Northern Pikeminnow population on DSR and NRR Chinook Salmon emigrants at Deadwater Slough;</w:t>
      </w:r>
    </w:p>
    <w:p w14:paraId="385F15DE" w14:textId="77777777" w:rsidR="00B40F81" w:rsidRDefault="00CA7264">
      <w:pPr>
        <w:pStyle w:val="Compact"/>
        <w:numPr>
          <w:ilvl w:val="0"/>
          <w:numId w:val="15"/>
        </w:numPr>
      </w:pPr>
      <w:r>
        <w:t>Estimate how consumption of juvenile Chinook Salmon emigrants at Deadwater Slough by Northern Pikeminnow might impact adult returns to the Upper Salmon River.</w:t>
      </w:r>
    </w:p>
    <w:p w14:paraId="32D6CA6E" w14:textId="77777777" w:rsidR="00B40F81" w:rsidRDefault="00CA7264">
      <w:pPr>
        <w:pStyle w:val="Heading1"/>
      </w:pPr>
      <w:bookmarkStart w:id="2" w:name="methods"/>
      <w:bookmarkEnd w:id="1"/>
      <w:r>
        <w:lastRenderedPageBreak/>
        <w:t>Methods</w:t>
      </w:r>
    </w:p>
    <w:p w14:paraId="75209D33" w14:textId="77777777" w:rsidR="00B40F81" w:rsidRDefault="00CA7264">
      <w:pPr>
        <w:pStyle w:val="Heading2"/>
      </w:pPr>
      <w:bookmarkStart w:id="3" w:name="study-site"/>
      <w:r>
        <w:t>Study Site</w:t>
      </w:r>
    </w:p>
    <w:p w14:paraId="7F3B930D" w14:textId="77777777" w:rsidR="00B40F81" w:rsidRDefault="00CA7264">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2B855EB9" w14:textId="77777777" w:rsidR="00B40F81" w:rsidRDefault="00CA7264">
      <w:pPr>
        <w:pStyle w:val="Heading2"/>
      </w:pPr>
      <w:bookmarkStart w:id="4" w:name="northern-pikeminnow-demographics"/>
      <w:bookmarkEnd w:id="3"/>
      <w:r>
        <w:t>Northern Pikeminnow Demographics</w:t>
      </w:r>
    </w:p>
    <w:p w14:paraId="368FA292" w14:textId="77777777" w:rsidR="00B40F81" w:rsidRDefault="00CA7264">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3F5C79D4" w14:textId="77777777" w:rsidR="00B40F81" w:rsidRDefault="00CA7264">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14:paraId="59BA9C18" w14:textId="77777777" w:rsidR="00B40F81" w:rsidRDefault="00CA7264">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67033C01" w14:textId="77777777" w:rsidR="00B40F81" w:rsidRDefault="00CA7264">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221D2CD" w14:textId="77777777" w:rsidR="00B40F81" w:rsidRDefault="001824D0">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66A0AD2E" w14:textId="77777777" w:rsidR="00B40F81" w:rsidRDefault="00CA7264">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3D20AC15" w14:textId="77777777" w:rsidR="00B40F81" w:rsidRDefault="001824D0">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9768177" w14:textId="77777777" w:rsidR="00B40F81" w:rsidRDefault="00CA7264">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425171EB" w14:textId="77777777" w:rsidR="00B40F81" w:rsidRDefault="00CA7264">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w:t>
      </w:r>
      <w:r>
        <w:lastRenderedPageBreak/>
        <w:t>mixing” Schnabel estimator that assumed fish marked and released on a given survey day were not available for recapture for 48 hours. The delayed-mixing Schnabel estimator is given by:</w:t>
      </w:r>
    </w:p>
    <w:p w14:paraId="498C2D58" w14:textId="77777777" w:rsidR="00B40F81" w:rsidRDefault="001824D0">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1B4752B" w14:textId="77777777" w:rsidR="00B40F81" w:rsidRDefault="00CA7264">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22FFB130" w14:textId="77777777" w:rsidR="00B40F81" w:rsidRDefault="00CA7264">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463D4B9D" w14:textId="77777777" w:rsidR="00B40F81" w:rsidRDefault="001824D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388AA352" w14:textId="77777777" w:rsidR="00B40F81" w:rsidRDefault="00CA7264">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39A86019" w14:textId="77777777" w:rsidR="00B40F81" w:rsidRDefault="00CA7264">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B7B7AB9" w14:textId="77777777" w:rsidR="00B40F81" w:rsidRDefault="00CA7264">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1B1FC44E" w14:textId="77777777" w:rsidR="00B40F81" w:rsidRDefault="00CA7264">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2CBAA78C" w14:textId="77777777" w:rsidR="00B40F81" w:rsidRDefault="00CA7264">
      <w:pPr>
        <w:pStyle w:val="Heading2"/>
      </w:pPr>
      <w:bookmarkStart w:id="5" w:name="stomach-contents"/>
      <w:bookmarkEnd w:id="4"/>
      <w:r>
        <w:t>Stomach Contents</w:t>
      </w:r>
    </w:p>
    <w:p w14:paraId="0FBA7D14" w14:textId="77777777" w:rsidR="00B40F81" w:rsidRDefault="00CA7264">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p w14:paraId="005D2C3B" w14:textId="77777777" w:rsidR="00B40F81" w:rsidRDefault="00CA7264">
      <w:pPr>
        <w:pStyle w:val="Heading2"/>
      </w:pPr>
      <w:bookmarkStart w:id="6" w:name="fish-consumption-potential"/>
      <w:bookmarkEnd w:id="5"/>
      <w:r>
        <w:t>Fish Consumption Potential</w:t>
      </w:r>
    </w:p>
    <w:p w14:paraId="11767D3F" w14:textId="77777777" w:rsidR="00B40F81" w:rsidRDefault="00CA7264">
      <w:pPr>
        <w:pStyle w:val="FirstParagraph"/>
      </w:pPr>
      <w:r>
        <w:t xml:space="preserve">To estimate the total consumption potential of Northern Pikeminnow in Deadwater Slough during the peaks of fall DSR and spring NRR emigrations, we used the Fish Bioenergetics v4.0 </w:t>
      </w:r>
      <w:r>
        <w:lastRenderedPageBreak/>
        <w:t>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14:paraId="09AF9B01" w14:textId="77777777" w:rsidR="00B40F81" w:rsidRDefault="00CA7264">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30DA314A" w14:textId="77777777" w:rsidR="00B40F81" w:rsidRDefault="00CA7264">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DA1AB32" w14:textId="77777777" w:rsidR="00B40F81" w:rsidRDefault="00CA7264">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7E317BDF" w14:textId="77777777" w:rsidR="00B40F81" w:rsidRDefault="00CA7264">
      <w:pPr>
        <w:pStyle w:val="BodyText"/>
      </w:pPr>
      <w:r>
        <w:lastRenderedPageBreak/>
        <w:t>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p w14:paraId="4B6A0AA1" w14:textId="77777777" w:rsidR="00B40F81" w:rsidRDefault="00CA7264">
      <w:pPr>
        <w:pStyle w:val="Heading2"/>
      </w:pPr>
      <w:bookmarkStart w:id="7" w:name="impacts-to-chinook-salmon-populations"/>
      <w:bookmarkEnd w:id="6"/>
      <w:r>
        <w:t>Impacts to Chinook Salmon Populations</w:t>
      </w:r>
    </w:p>
    <w:p w14:paraId="3E269CA1" w14:textId="77777777" w:rsidR="00B40F81" w:rsidRDefault="00CA7264">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w:t>
      </w:r>
      <w:r>
        <w:lastRenderedPageBreak/>
        <w:t>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6A5393AB" w14:textId="77777777" w:rsidR="00B40F81" w:rsidRDefault="00CA7264">
      <w:pPr>
        <w:pStyle w:val="BodyText"/>
      </w:pPr>
      <w:r>
        <w:t>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 McCann et al. (2019) for Chinook Salmon in the Upper Salmon River.</w:t>
      </w:r>
    </w:p>
    <w:p w14:paraId="2354F664" w14:textId="77777777" w:rsidR="00B40F81" w:rsidRDefault="00CA7264">
      <w:pPr>
        <w:pStyle w:val="Heading1"/>
      </w:pPr>
      <w:bookmarkStart w:id="8" w:name="results"/>
      <w:bookmarkEnd w:id="2"/>
      <w:bookmarkEnd w:id="7"/>
      <w:r>
        <w:t>Results</w:t>
      </w:r>
    </w:p>
    <w:p w14:paraId="0D7D2A0E" w14:textId="77777777" w:rsidR="00B40F81" w:rsidRDefault="00CA7264">
      <w:pPr>
        <w:pStyle w:val="Heading2"/>
      </w:pPr>
      <w:bookmarkStart w:id="9" w:name="northern-pikeminnow-demographics-1"/>
      <w:r>
        <w:t>Northern Pikeminnow Demographics</w:t>
      </w:r>
    </w:p>
    <w:p w14:paraId="15C318C1" w14:textId="77777777" w:rsidR="00B40F81" w:rsidRDefault="00CA7264">
      <w:pPr>
        <w:pStyle w:val="FirstParagraph"/>
      </w:pPr>
      <w:r>
        <w:t xml:space="preserve">Using hook-and-line angling, we caught a total of 1,663 Northern Pikeminnow over the course of the study including 14 recaptures; the overall CPUE was 1.32 Northern Pikeminnow per angler hour (Table 1). Mark-recapture abundance estimates of Northern Pikeminnow in Deadwater Slough ranged from 12,480 to 18,732 in fall 2019 and from 24,381 to 37,016 in fall 2020 (Table </w:t>
      </w:r>
      <w:r>
        <w:lastRenderedPageBreak/>
        <w:t>3). We estimated larger populations of Northern Pikeminnow using the unadjusted multiple census estimator compared to the single census and adjusted delayed-mixing multiple census estimators (Figure 2).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78996A65" w14:textId="77777777" w:rsidR="00B40F81" w:rsidRDefault="00CA7264">
      <w:pPr>
        <w:pStyle w:val="BodyText"/>
      </w:pPr>
      <w:r>
        <w:t>Lengths of Northern Pikeminnow ranged from 176 to 639 mm TL with an average of 389 mm (Figure 3). The PSD for Northern Pikeminnow in Deadwater Slough across all three surveys was 50%.</w:t>
      </w:r>
    </w:p>
    <w:p w14:paraId="30938D11" w14:textId="77777777" w:rsidR="00B40F81" w:rsidRDefault="00CA7264">
      <w:pPr>
        <w:pStyle w:val="Heading2"/>
      </w:pPr>
      <w:bookmarkStart w:id="10" w:name="stomach-contents-1"/>
      <w:bookmarkEnd w:id="9"/>
      <w:r>
        <w:t>Stomach Contents</w:t>
      </w:r>
    </w:p>
    <w:p w14:paraId="2797A011" w14:textId="77777777" w:rsidR="00B40F81" w:rsidRDefault="00CA7264">
      <w:pPr>
        <w:pStyle w:val="FirstParagraph"/>
      </w:pPr>
      <w:r>
        <w:t>We found that gastric lavage successfully removed food items in all dissected individuals, indicating the method was effective. Of the 1,558 Northern Pikeminnow sampled using gastric lavage, we found contents in 350 stomachs and confirmed fish or fish parts in 44 of those. Northern Pikeminnow captured during spring 2021 had a higher proportion of fish content in their diet compared to individuals captured in the fall surveys (Table 4). The mean wet weight of total contents for an individual was 0.98 g (median = 0.25 g; SD = 2.16 g). Overall, fish or fish remnants made up 11.7% of all stomach contents examined.</w:t>
      </w:r>
    </w:p>
    <w:p w14:paraId="7EE46C50" w14:textId="77777777" w:rsidR="00B40F81" w:rsidRDefault="00CA7264">
      <w:pPr>
        <w:pStyle w:val="Heading2"/>
      </w:pPr>
      <w:bookmarkStart w:id="11" w:name="fish-consumption-potential-1"/>
      <w:bookmarkEnd w:id="10"/>
      <w:r>
        <w:lastRenderedPageBreak/>
        <w:t>Fish Consumption Potential</w:t>
      </w:r>
    </w:p>
    <w:p w14:paraId="1C1C257C" w14:textId="77777777" w:rsidR="00B40F81" w:rsidRDefault="00CA7264">
      <w:pPr>
        <w:pStyle w:val="FirstParagraph"/>
      </w:pPr>
      <w:r>
        <w:t>During the fall DSR emigration, we estimated an average-size Northern Pikeminnow (394.1 TL mm) to consume 43.55 g of fish to maintain their body size, assuming 60% of their diet consisted of fish prey (Figure 4). Fall consumption ranged from 35.74 g for a diet of 30% fish to 46.91 g for a diet of 90% fish. During the spring NRR emigration, we estimated an average-size Northern Pikeminnow (352.9 TL mm) to consume 42.51 g of fish, assuming 60% of their diet was fish prey (Figure 4). Spring consumption ranged from 34.01 for a diet of 30% fish to 44.33 for a diet of 90% fish. Daily consumption rates were higher early in the fall and late in the spring and corresponded with higher water temperatures, especially above 8 degrees Celsius (Figure 4).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p w14:paraId="7ED6D997" w14:textId="77777777" w:rsidR="00B40F81" w:rsidRDefault="00CA7264">
      <w:pPr>
        <w:pStyle w:val="Heading2"/>
      </w:pPr>
      <w:bookmarkStart w:id="12" w:name="impacts-to-chinook-salmon-populations-1"/>
      <w:bookmarkEnd w:id="11"/>
      <w:r>
        <w:t>Impacts to Chinook Salmon Populations</w:t>
      </w:r>
    </w:p>
    <w:p w14:paraId="13666401" w14:textId="77777777" w:rsidR="00B40F81" w:rsidRDefault="00CA7264">
      <w:pPr>
        <w:pStyle w:val="FirstParagraph"/>
      </w:pPr>
      <w:r>
        <w:t>Given yearly fish consumption estimates during the fall DSR and spring NRR periods, we produced a sensitivity analysis to calculate the consumption of juvenile Chinook Salmon where 30%, 50%, and 65% of total fish prey consumed were juvenile Chinook Salmon (Figure 5). At the median value of 50%, we estimated that 61,409 (95% CI: 31,342 - 131,004) juvenile Chinook Salmon would be consumed. Using the median Granite-to-Granite SAR for Chinook Salmon in the Upper Salmon River, we estimated the “adult equivalents” of juveniles consumed to be 377 (95% CI: 161 - 935) adults (Figure 6).</w:t>
      </w:r>
    </w:p>
    <w:p w14:paraId="5A172E70" w14:textId="77777777" w:rsidR="00B40F81" w:rsidRDefault="00CA7264">
      <w:pPr>
        <w:pStyle w:val="Heading1"/>
      </w:pPr>
      <w:bookmarkStart w:id="13" w:name="discussion"/>
      <w:bookmarkEnd w:id="8"/>
      <w:bookmarkEnd w:id="12"/>
      <w:r>
        <w:lastRenderedPageBreak/>
        <w:t>Discussion</w:t>
      </w:r>
    </w:p>
    <w:p w14:paraId="465D61BE" w14:textId="77777777" w:rsidR="00B40F81" w:rsidRDefault="00CA7264">
      <w:pPr>
        <w:pStyle w:val="FirstParagraph"/>
      </w:pPr>
      <w:r>
        <w:t>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077B94D0" w14:textId="77777777" w:rsidR="00B40F81" w:rsidRDefault="00CA7264">
      <w:pPr>
        <w:pStyle w:val="BodyText"/>
      </w:pPr>
      <w:r>
        <w:t xml:space="preserve">Several assumptions in our estimators may have influenced the magnitude of our abundance results. First, all models assumed a closed population; however, it is possible that immigration </w:t>
      </w:r>
      <w:r>
        <w:lastRenderedPageBreak/>
        <w:t>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14:paraId="2B089A6C" w14:textId="77777777" w:rsidR="00B40F81" w:rsidRDefault="00CA7264">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 “good” fishing locales. </w:t>
      </w:r>
      <w:r>
        <w:lastRenderedPageBreak/>
        <w:t>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0418F72E" w14:textId="77777777" w:rsidR="00B40F81" w:rsidRDefault="00CA7264">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4CCF604C" w14:textId="77777777" w:rsidR="00B40F81" w:rsidRDefault="00CA7264">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14:paraId="4AAE337A" w14:textId="77777777" w:rsidR="00B40F81" w:rsidRDefault="00CA7264">
      <w:pPr>
        <w:pStyle w:val="BodyText"/>
      </w:pPr>
      <w:r>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w:t>
      </w:r>
      <w:r>
        <w:lastRenderedPageBreak/>
        <w:t xml:space="preserve">Mountain 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7F9B06E" w14:textId="77777777" w:rsidR="00B40F81" w:rsidRDefault="00CA7264">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w:t>
      </w:r>
      <w:r>
        <w:lastRenderedPageBreak/>
        <w:t>periods when Chinook Salmon are abundant and the Northern Pikeminnow diet shifts almost entirely to piscivory, presumably on juvenile Chinook Salmon (Poe et al. 1991; Shively et al. 1996).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60F22F05" w14:textId="77777777" w:rsidR="00B40F81" w:rsidRDefault="00CA7264">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w:t>
      </w:r>
      <w:r>
        <w:lastRenderedPageBreak/>
        <w:t>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14:paraId="4602C276" w14:textId="77777777" w:rsidR="00B40F81" w:rsidRDefault="00CA7264">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72EAF511" w14:textId="77777777" w:rsidR="00B40F81" w:rsidRDefault="00CA7264">
      <w:pPr>
        <w:pStyle w:val="BodyText"/>
      </w:pPr>
      <w:r>
        <w:t xml:space="preserve">In addition to juvenile Chinook Salmon, juvenile steelhead and Sockeye Salmon (both natural-origin and hatchery releases) are also likely prey items for Northern Pikeminnow in Deadwater Slough. Accordingly, we surmise that juvenile emigration and adult returns of steelhead and </w:t>
      </w:r>
      <w:r>
        <w:lastRenderedPageBreak/>
        <w:t>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3AC882F7" w14:textId="77777777" w:rsidR="00B40F81" w:rsidRDefault="00CA7264">
      <w:pPr>
        <w:pStyle w:val="BodyText"/>
      </w:pPr>
      <w:r>
        <w:t>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processes relative to potential losses for recreational fishing and bird watching opportunities (</w:t>
      </w:r>
      <w:hyperlink r:id="rId10">
        <w:r>
          <w:rPr>
            <w:rStyle w:val="Hyperlink"/>
          </w:rPr>
          <w:t>https://www.audobon.org/important-bird-areas/deadwater-slough</w:t>
        </w:r>
      </w:hyperlink>
      <w:r>
        <w:t>).</w:t>
      </w:r>
    </w:p>
    <w:p w14:paraId="395505E3" w14:textId="77777777" w:rsidR="00B40F81" w:rsidRDefault="00CA7264">
      <w:pPr>
        <w:pStyle w:val="BodyText"/>
      </w:pPr>
      <w:r>
        <w:lastRenderedPageBreak/>
        <w:t>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14:paraId="0DCFAC3C" w14:textId="77777777" w:rsidR="00B40F81" w:rsidRDefault="00CA7264">
      <w:pPr>
        <w:pStyle w:val="BodyText"/>
      </w:pPr>
      <w:r>
        <w:t xml:space="preserve">Although the origins of Deadwater Slough are somewhat ambiguous (Reichmuth et al. 1985; USACE 1986),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w:t>
      </w:r>
      <w:r>
        <w:lastRenderedPageBreak/>
        <w:t>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730F3A4F" w14:textId="77777777" w:rsidR="00B40F81" w:rsidRDefault="00CA7264">
      <w:r>
        <w:br w:type="page"/>
      </w:r>
    </w:p>
    <w:p w14:paraId="2A3CD19A" w14:textId="77777777" w:rsidR="00B40F81" w:rsidRDefault="00CA7264">
      <w:pPr>
        <w:pStyle w:val="Heading1"/>
      </w:pPr>
      <w:bookmarkStart w:id="14" w:name="acknowledgements"/>
      <w:bookmarkEnd w:id="13"/>
      <w:r>
        <w:lastRenderedPageBreak/>
        <w:t>Acknowledgements</w:t>
      </w:r>
    </w:p>
    <w:p w14:paraId="7A41BFCF" w14:textId="77777777" w:rsidR="00B40F81" w:rsidRDefault="00CA7264">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47685140" w14:textId="77777777" w:rsidR="00B40F81" w:rsidRDefault="00CA7264">
      <w:r>
        <w:br w:type="page"/>
      </w:r>
    </w:p>
    <w:p w14:paraId="0801D135" w14:textId="77777777" w:rsidR="00B40F81" w:rsidRDefault="00CA7264">
      <w:pPr>
        <w:pStyle w:val="Heading1"/>
      </w:pPr>
      <w:bookmarkStart w:id="15" w:name="literature-cited"/>
      <w:bookmarkEnd w:id="14"/>
      <w:r>
        <w:lastRenderedPageBreak/>
        <w:t>Literature Cited</w:t>
      </w:r>
    </w:p>
    <w:p w14:paraId="48C38045" w14:textId="77777777" w:rsidR="00B40F81" w:rsidRDefault="00CA7264" w:rsidP="004861F7">
      <w:pPr>
        <w:pStyle w:val="Bibliography"/>
        <w:spacing w:after="0"/>
        <w:ind w:left="720" w:hanging="720"/>
        <w:contextualSpacing/>
      </w:pPr>
      <w:bookmarkStart w:id="16" w:name="ref-Ackerman2018"/>
      <w:bookmarkStart w:id="17" w:name="refs"/>
      <w:r>
        <w:t>Ackerman, M. W., G. A. Axel, R. A. Carmichael, and K. See. 2018. Movement and distribution of sp/sum Chinook Salmon presmolts in the mainstem Salmon River, pilot study. Technical report prepared for Idaho Governor’s Office of Species Conservation.</w:t>
      </w:r>
    </w:p>
    <w:p w14:paraId="0F1CC2BE" w14:textId="77777777" w:rsidR="00B40F81" w:rsidRDefault="00CA7264" w:rsidP="004861F7">
      <w:pPr>
        <w:pStyle w:val="Bibliography"/>
        <w:spacing w:after="0"/>
        <w:ind w:left="720" w:hanging="720"/>
        <w:contextualSpacing/>
      </w:pPr>
      <w:bookmarkStart w:id="18" w:name="ref-Atlas2021"/>
      <w:bookmarkEnd w:id="1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5D67A72C" w14:textId="77777777" w:rsidR="00B40F81" w:rsidRDefault="00CA7264" w:rsidP="004861F7">
      <w:pPr>
        <w:pStyle w:val="Bibliography"/>
        <w:spacing w:after="0"/>
        <w:ind w:left="720" w:hanging="720"/>
        <w:contextualSpacing/>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6C852D01" w14:textId="77777777" w:rsidR="00B40F81" w:rsidRDefault="00CA7264" w:rsidP="004861F7">
      <w:pPr>
        <w:pStyle w:val="Bibliography"/>
        <w:spacing w:after="0"/>
        <w:ind w:left="720" w:hanging="720"/>
        <w:contextualSpacing/>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4C1C8064" w14:textId="77777777" w:rsidR="00B40F81" w:rsidRDefault="00CA7264" w:rsidP="004861F7">
      <w:pPr>
        <w:pStyle w:val="Bibliography"/>
        <w:spacing w:after="0"/>
        <w:ind w:left="720" w:hanging="720"/>
        <w:contextualSpacing/>
      </w:pPr>
      <w:bookmarkStart w:id="21" w:name="ref-Beamesderfer1991"/>
      <w:bookmarkEnd w:id="20"/>
      <w:r>
        <w:t>Beamesderfer, R. C., and B. E. Rieman. 1991. Abundance and distribution of Northern Squawfish, Walleyes, and Smallmouth Bass in John Day Reservoir, Columbia River. Transactions of the American Fisheries Society 120:439–447.</w:t>
      </w:r>
    </w:p>
    <w:p w14:paraId="7C764E12" w14:textId="77777777" w:rsidR="00B40F81" w:rsidRDefault="00CA7264" w:rsidP="004861F7">
      <w:pPr>
        <w:pStyle w:val="Bibliography"/>
        <w:spacing w:after="0"/>
        <w:ind w:left="720" w:hanging="720"/>
        <w:contextualSpacing/>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619E0F42" w14:textId="77777777" w:rsidR="00B40F81" w:rsidRDefault="00CA7264" w:rsidP="004861F7">
      <w:pPr>
        <w:pStyle w:val="Bibliography"/>
        <w:spacing w:after="0"/>
        <w:ind w:left="720" w:hanging="720"/>
        <w:contextualSpacing/>
      </w:pPr>
      <w:bookmarkStart w:id="23" w:name="ref-Clark2020"/>
      <w:bookmarkEnd w:id="22"/>
      <w:r>
        <w:t>Clark, C., P. Roni, J. Keeton, and G. Pess. 2020. Evaluation of the removal of impassable barriers on anadromous salmon and steelhead in the Columbia River Basin. Fisheries Management and Ecology 27(1):102–110.</w:t>
      </w:r>
    </w:p>
    <w:p w14:paraId="07BC4799" w14:textId="77777777" w:rsidR="00B40F81" w:rsidRDefault="00CA7264" w:rsidP="004861F7">
      <w:pPr>
        <w:pStyle w:val="Bibliography"/>
        <w:spacing w:after="0"/>
        <w:ind w:left="720" w:hanging="720"/>
        <w:contextualSpacing/>
      </w:pPr>
      <w:bookmarkStart w:id="24" w:name="ref-Copeland2014a"/>
      <w:bookmarkEnd w:id="23"/>
      <w:r>
        <w:t>Copeland, T., M. W. Ackerman, M. P. Corsi, P. Kennedy, K. K. Wright, M. R. Campbell, and W. C. Schrader. 2014. Wild Juvenile Steelhead and Chinook Salmon Abundance and Composition at Lower Granite Dam, Migratory Years 2010 and 2011. Idaho Department of Fish and Game.</w:t>
      </w:r>
    </w:p>
    <w:p w14:paraId="5D136C48" w14:textId="77777777" w:rsidR="00B40F81" w:rsidRDefault="00CA7264" w:rsidP="004861F7">
      <w:pPr>
        <w:pStyle w:val="Bibliography"/>
        <w:spacing w:after="0"/>
        <w:ind w:left="720" w:hanging="720"/>
        <w:contextualSpacing/>
      </w:pPr>
      <w:bookmarkStart w:id="25" w:name="ref-Crozier2020"/>
      <w:bookmarkEnd w:id="24"/>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4D2DECBC" w14:textId="77777777" w:rsidR="00B40F81" w:rsidRDefault="00CA7264" w:rsidP="004861F7">
      <w:pPr>
        <w:pStyle w:val="Bibliography"/>
        <w:spacing w:after="0"/>
        <w:ind w:left="720" w:hanging="720"/>
        <w:contextualSpacing/>
      </w:pPr>
      <w:bookmarkStart w:id="26" w:name="ref-Deslauriers2017"/>
      <w:bookmarkEnd w:id="25"/>
      <w:r>
        <w:t>Deslauriers, D., S. R. Chipps, J. E. Breck, J. A. Rice, and C. P. Madenjian. 2017. Fish Bioenergetics 4.0: An R-based modeling application. Fisheries 42(11):586–596.</w:t>
      </w:r>
    </w:p>
    <w:p w14:paraId="75DFB552" w14:textId="77777777" w:rsidR="00B40F81" w:rsidRDefault="00CA7264" w:rsidP="004861F7">
      <w:pPr>
        <w:pStyle w:val="Bibliography"/>
        <w:spacing w:after="0"/>
        <w:ind w:left="720" w:hanging="720"/>
        <w:contextualSpacing/>
      </w:pPr>
      <w:bookmarkStart w:id="27" w:name="ref-Dodson2013"/>
      <w:bookmarkEnd w:id="26"/>
      <w:r>
        <w:t>Dodson, J. J., N. Aubin-Horth, V. Thériault, and D. J. Páez. 2013. The evolutionary ecology of alternative migratory tactics in salmonid fishes: Alternative migratory tactics as threshold traits. Biological Reviews 88(3):602–625.</w:t>
      </w:r>
    </w:p>
    <w:p w14:paraId="223C0081" w14:textId="77777777" w:rsidR="00B40F81" w:rsidRDefault="00CA7264" w:rsidP="004861F7">
      <w:pPr>
        <w:pStyle w:val="Bibliography"/>
        <w:spacing w:after="0"/>
        <w:ind w:left="720" w:hanging="720"/>
        <w:contextualSpacing/>
      </w:pPr>
      <w:bookmarkStart w:id="28" w:name="ref-eBird2021"/>
      <w:bookmarkEnd w:id="27"/>
      <w:r>
        <w:t>eBird. 2021. eBird: An online database of bird distribution and abundance [web application]. eBird, Cornell Lab of Ornithology, Ithaca, New York. Available: http://www.ebird.org. Accessed: November 10, 2021.</w:t>
      </w:r>
    </w:p>
    <w:p w14:paraId="72EC161F" w14:textId="77777777" w:rsidR="00B40F81" w:rsidRDefault="00CA7264" w:rsidP="004861F7">
      <w:pPr>
        <w:pStyle w:val="Bibliography"/>
        <w:spacing w:after="0"/>
        <w:ind w:left="720" w:hanging="720"/>
        <w:contextualSpacing/>
      </w:pPr>
      <w:bookmarkStart w:id="29" w:name="ref-Emerson1973"/>
      <w:bookmarkEnd w:id="28"/>
      <w:r>
        <w:t>Emerson, J. L. 1973. A history of the Salmon National Forest. United States Forest Service. 194 pp.</w:t>
      </w:r>
    </w:p>
    <w:p w14:paraId="6619AB7B" w14:textId="77777777" w:rsidR="00B40F81" w:rsidRDefault="00CA7264" w:rsidP="004861F7">
      <w:pPr>
        <w:pStyle w:val="Bibliography"/>
        <w:spacing w:after="0"/>
        <w:ind w:left="720" w:hanging="720"/>
        <w:contextualSpacing/>
      </w:pPr>
      <w:bookmarkStart w:id="30" w:name="ref-Evans2012"/>
      <w:bookmarkEnd w:id="29"/>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01D47038" w14:textId="77777777" w:rsidR="00B40F81" w:rsidRDefault="00CA7264" w:rsidP="004861F7">
      <w:pPr>
        <w:pStyle w:val="Bibliography"/>
        <w:spacing w:after="0"/>
        <w:ind w:left="720" w:hanging="720"/>
        <w:contextualSpacing/>
      </w:pPr>
      <w:bookmarkStart w:id="31" w:name="ref-Evans2016"/>
      <w:bookmarkEnd w:id="30"/>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4DE1C259" w14:textId="77777777" w:rsidR="00B40F81" w:rsidRDefault="00CA7264" w:rsidP="004861F7">
      <w:pPr>
        <w:pStyle w:val="Bibliography"/>
        <w:spacing w:after="0"/>
        <w:ind w:left="720" w:hanging="720"/>
        <w:contextualSpacing/>
      </w:pPr>
      <w:bookmarkStart w:id="32" w:name="ref-Feeken2020"/>
      <w:bookmarkEnd w:id="31"/>
      <w:r>
        <w:t>Feeken, S. F., B. Barnett, E. Felts, E. J. Stark, M. Davison, J. R. Poole, C. McClure, B. A. Knoth, and M. E. Dobos. 2020. Idaho Anadromous Emigrant Monitoring, 2019 Annual Report. IDFG Report Number 20-09:67.</w:t>
      </w:r>
    </w:p>
    <w:p w14:paraId="68E9BE67" w14:textId="77777777" w:rsidR="00B40F81" w:rsidRDefault="00CA7264" w:rsidP="004861F7">
      <w:pPr>
        <w:pStyle w:val="Bibliography"/>
        <w:spacing w:after="0"/>
        <w:ind w:left="720" w:hanging="720"/>
        <w:contextualSpacing/>
      </w:pPr>
      <w:bookmarkStart w:id="33" w:name="ref-Foster1977"/>
      <w:bookmarkEnd w:id="32"/>
      <w:r>
        <w:t>Foster, J. R. 1977. Pulsed gastric lavage: An efficient method of removing the stomach contents of live fish. The Progressive Fish-Culturist 39(4):166–169.</w:t>
      </w:r>
    </w:p>
    <w:p w14:paraId="6A3A5FBD" w14:textId="77777777" w:rsidR="00B40F81" w:rsidRDefault="00CA7264" w:rsidP="004861F7">
      <w:pPr>
        <w:pStyle w:val="Bibliography"/>
        <w:spacing w:after="0"/>
        <w:ind w:left="720" w:hanging="720"/>
        <w:contextualSpacing/>
      </w:pPr>
      <w:bookmarkStart w:id="34" w:name="ref-Friesen1999"/>
      <w:bookmarkEnd w:id="33"/>
      <w:r>
        <w:t>Friesen, T. A., and D. L. Ward. 1999. Management of Northern Pikeminnow and implications for juvenile salmonid survival in the lower Columbia and Snake rivers. North American Journal of Fisheries Management 19(2):406–420.</w:t>
      </w:r>
    </w:p>
    <w:p w14:paraId="5C77CC32" w14:textId="77777777" w:rsidR="00B40F81" w:rsidRDefault="00CA7264" w:rsidP="004861F7">
      <w:pPr>
        <w:pStyle w:val="Bibliography"/>
        <w:spacing w:after="0"/>
        <w:ind w:left="720" w:hanging="720"/>
        <w:contextualSpacing/>
      </w:pPr>
      <w:bookmarkStart w:id="35" w:name="ref-Frost2000"/>
      <w:bookmarkEnd w:id="34"/>
      <w:r>
        <w:t>Frost, C. N. 2000. A key for identifying preyfish in the Columbia River based on diagnostic bones. U.S. Geological Survey, Western Fisheries Research Center, Columbia River Research Laboratory.</w:t>
      </w:r>
    </w:p>
    <w:p w14:paraId="7AE181A3" w14:textId="77777777" w:rsidR="00B40F81" w:rsidRDefault="00CA7264" w:rsidP="004861F7">
      <w:pPr>
        <w:pStyle w:val="Bibliography"/>
        <w:spacing w:after="0"/>
        <w:ind w:left="720" w:hanging="720"/>
        <w:contextualSpacing/>
      </w:pPr>
      <w:bookmarkStart w:id="36" w:name="ref-Gray2001"/>
      <w:bookmarkEnd w:id="35"/>
      <w:r>
        <w:t>Gray, R. H., and D. D. Dauble. 2001. Some Life History Characteristics of Cyprinids in the Hanford Reach, Mid-Columbia River. Northwest Science 75(2):122–136.</w:t>
      </w:r>
    </w:p>
    <w:p w14:paraId="38374480" w14:textId="77777777" w:rsidR="00B40F81" w:rsidRDefault="00CA7264" w:rsidP="004861F7">
      <w:pPr>
        <w:pStyle w:val="Bibliography"/>
        <w:spacing w:after="0"/>
        <w:ind w:left="720" w:hanging="720"/>
        <w:contextualSpacing/>
      </w:pPr>
      <w:bookmarkStart w:id="37" w:name="ref-Hansel1988"/>
      <w:bookmarkEnd w:id="36"/>
      <w:r>
        <w:lastRenderedPageBreak/>
        <w:t>Hansel, H. C., S. D. Duke, P. T. Lofy, and G. A. Gray. 1988. Use of diagnostic bones to identify and estimate original lengths of ingested prey fishes. Transactions of the American Fisheries Society 117(1):55–62.</w:t>
      </w:r>
    </w:p>
    <w:p w14:paraId="3B4BA6C3" w14:textId="77777777" w:rsidR="00B40F81" w:rsidRDefault="00CA7264" w:rsidP="004861F7">
      <w:pPr>
        <w:pStyle w:val="Bibliography"/>
        <w:spacing w:after="0"/>
        <w:ind w:left="720" w:hanging="720"/>
        <w:contextualSpacing/>
      </w:pPr>
      <w:bookmarkStart w:id="38" w:name="ref-Harnish2014"/>
      <w:bookmarkEnd w:id="37"/>
      <w:r>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60494C86" w14:textId="77777777" w:rsidR="00B40F81" w:rsidRDefault="00CA7264" w:rsidP="004861F7">
      <w:pPr>
        <w:pStyle w:val="Bibliography"/>
        <w:spacing w:after="0"/>
        <w:ind w:left="720" w:hanging="720"/>
        <w:contextualSpacing/>
      </w:pPr>
      <w:bookmarkStart w:id="39" w:name="ref-Hartleb1995"/>
      <w:bookmarkEnd w:id="38"/>
      <w:r>
        <w:t>Hartleb, C. F., and J. R. Moring. 1995. An improved gastric lavage device for removing stomach contents from live fish. Fisheries Research 24(3):261–265.</w:t>
      </w:r>
    </w:p>
    <w:p w14:paraId="770987AB" w14:textId="77777777" w:rsidR="00B40F81" w:rsidRDefault="00CA7264" w:rsidP="004861F7">
      <w:pPr>
        <w:pStyle w:val="Bibliography"/>
        <w:spacing w:after="0"/>
        <w:ind w:left="720" w:hanging="720"/>
        <w:contextualSpacing/>
      </w:pPr>
      <w:bookmarkStart w:id="40" w:name="ref-Hodgson1988"/>
      <w:bookmarkEnd w:id="39"/>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3A6A6E7" w14:textId="77777777" w:rsidR="00B40F81" w:rsidRDefault="00CA7264" w:rsidP="004861F7">
      <w:pPr>
        <w:pStyle w:val="Bibliography"/>
        <w:spacing w:after="0"/>
        <w:ind w:left="720" w:hanging="720"/>
        <w:contextualSpacing/>
      </w:pPr>
      <w:bookmarkStart w:id="41" w:name="ref-ICTRT2007"/>
      <w:bookmarkEnd w:id="40"/>
      <w:r>
        <w:t>Interior Columbia Technical Recovery Team. 2007. Viability criteria for application to interior Columbia basin salmonid ESUs. National Marine Fisheries Service, Northwest Fisheries Science Center, National Oceanographic and Atmospheric Administration.</w:t>
      </w:r>
    </w:p>
    <w:p w14:paraId="6B5DC874" w14:textId="77777777" w:rsidR="00B40F81" w:rsidRDefault="00CA7264" w:rsidP="004861F7">
      <w:pPr>
        <w:pStyle w:val="Bibliography"/>
        <w:spacing w:after="0"/>
        <w:ind w:left="720" w:hanging="720"/>
        <w:contextualSpacing/>
      </w:pPr>
      <w:bookmarkStart w:id="42" w:name="ref-Jurajda2016"/>
      <w:bookmarkEnd w:id="41"/>
      <w:r>
        <w:t>Jurajda, P., K. Roche, I. Sedlacek, and L. Vsetickova. 2016. Assemblage characteristics and diet of fish in the shallow coastal waters of James Ross Island, Antarctica. Polar Biology 39(12):2299–2309.</w:t>
      </w:r>
    </w:p>
    <w:p w14:paraId="07DFF07F" w14:textId="77777777" w:rsidR="00B40F81" w:rsidRDefault="00CA7264" w:rsidP="004861F7">
      <w:pPr>
        <w:pStyle w:val="Bibliography"/>
        <w:spacing w:after="0"/>
        <w:ind w:left="720" w:hanging="720"/>
        <w:contextualSpacing/>
      </w:pPr>
      <w:bookmarkStart w:id="43" w:name="ref-Justice2017"/>
      <w:bookmarkEnd w:id="42"/>
      <w:r>
        <w:t>Justice, C., S. M. White, D. A. McCullough, D. S. Graves, and M. R. Blanchard. 2017. Can stream and riparian restoration offset climate change impacts to salmon populations? Journal of Environmental Management 188(2017):212–227.</w:t>
      </w:r>
    </w:p>
    <w:p w14:paraId="3519F069" w14:textId="77777777" w:rsidR="00B40F81" w:rsidRDefault="00CA7264" w:rsidP="004861F7">
      <w:pPr>
        <w:pStyle w:val="Bibliography"/>
        <w:spacing w:after="0"/>
        <w:ind w:left="720" w:hanging="720"/>
        <w:contextualSpacing/>
      </w:pPr>
      <w:bookmarkStart w:id="44" w:name="ref-Kamler2001"/>
      <w:bookmarkEnd w:id="43"/>
      <w:r>
        <w:t>Kamler, J. F., and K. L. Pope. 2001. Nonlethal methods of examining fish stomach contents. Reviews in Fisheries Science 9(1):1–11.</w:t>
      </w:r>
    </w:p>
    <w:p w14:paraId="3F28AF6E" w14:textId="77777777" w:rsidR="00B40F81" w:rsidRDefault="00CA7264" w:rsidP="004861F7">
      <w:pPr>
        <w:pStyle w:val="Bibliography"/>
        <w:spacing w:after="0"/>
        <w:ind w:left="720" w:hanging="720"/>
        <w:contextualSpacing/>
      </w:pPr>
      <w:bookmarkStart w:id="45" w:name="ref-Kinzer2020"/>
      <w:bookmarkEnd w:id="44"/>
      <w:r>
        <w:lastRenderedPageBreak/>
        <w:t>Kinzer, R., R. Orme, M. Campbell, J. Hargrove, and K. See. 2020. Report to NOAA Fisheries for 5-Year ESA Status Review: Snake River Basin Steelhead and Chinook Salmon population abundance, life History, and diversity metrics calculated from in-stream PIT-tag observations (SY2010-SY2019). IPTDSW (In-stream PIT-tag detection systems workgroup). 118 pp.</w:t>
      </w:r>
    </w:p>
    <w:p w14:paraId="16DEED26" w14:textId="77777777" w:rsidR="00B40F81" w:rsidRDefault="00CA7264" w:rsidP="004861F7">
      <w:pPr>
        <w:pStyle w:val="Bibliography"/>
        <w:spacing w:after="0"/>
        <w:ind w:left="720" w:hanging="720"/>
        <w:contextualSpacing/>
      </w:pPr>
      <w:bookmarkStart w:id="46" w:name="ref-Knutsen1999"/>
      <w:bookmarkEnd w:id="45"/>
      <w:r>
        <w:t>Knutsen, C. J., and D. L. Ward. 1999. Biological characteristics of Northern Pikeminnow in the lower Columbia and Snake rivers before and after sustained exploitation. Transactions of the American Fisheries Society 128(6):1008–1019.</w:t>
      </w:r>
    </w:p>
    <w:p w14:paraId="013C8AA6" w14:textId="77777777" w:rsidR="00B40F81" w:rsidRDefault="00CA7264" w:rsidP="004861F7">
      <w:pPr>
        <w:pStyle w:val="Bibliography"/>
        <w:spacing w:after="0"/>
        <w:ind w:left="720" w:hanging="720"/>
        <w:contextualSpacing/>
      </w:pPr>
      <w:bookmarkStart w:id="47" w:name="ref-Krebs1999"/>
      <w:bookmarkEnd w:id="46"/>
      <w:r>
        <w:t>Krebs, C. J. 1999. Ecological methodology. Addison Welsey Educational Publishers, Inc., Menlo Park, CA.</w:t>
      </w:r>
    </w:p>
    <w:p w14:paraId="0A9FAC7E" w14:textId="77777777" w:rsidR="00B40F81" w:rsidRDefault="00CA7264" w:rsidP="004861F7">
      <w:pPr>
        <w:pStyle w:val="Bibliography"/>
        <w:spacing w:after="0"/>
        <w:ind w:left="720" w:hanging="720"/>
        <w:contextualSpacing/>
      </w:pPr>
      <w:bookmarkStart w:id="48" w:name="ref-Lewis2019"/>
      <w:bookmarkEnd w:id="47"/>
      <w:r>
        <w:t>Lewis, D. J., S. J. Dundas, D. M. Kling, D. K. Lew, and S. D. Hacker. 2019. The non-market benefits of early and partial gains in managing threatened salmon. PLOS ONE 14(8):e0220260.</w:t>
      </w:r>
    </w:p>
    <w:p w14:paraId="2AA91B5E" w14:textId="77777777" w:rsidR="00B40F81" w:rsidRDefault="00CA7264" w:rsidP="004861F7">
      <w:pPr>
        <w:pStyle w:val="Bibliography"/>
        <w:spacing w:after="0"/>
        <w:ind w:left="720" w:hanging="720"/>
        <w:contextualSpacing/>
      </w:pPr>
      <w:bookmarkStart w:id="49" w:name="ref-McCann2019"/>
      <w:bookmarkEnd w:id="48"/>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348BAFF7" w14:textId="77777777" w:rsidR="00B40F81" w:rsidRDefault="00CA7264" w:rsidP="004861F7">
      <w:pPr>
        <w:pStyle w:val="Bibliography"/>
        <w:spacing w:after="0"/>
        <w:ind w:left="720" w:hanging="720"/>
        <w:contextualSpacing/>
      </w:pPr>
      <w:bookmarkStart w:id="50" w:name="ref-McClure2021"/>
      <w:bookmarkEnd w:id="49"/>
      <w:r>
        <w:t>McClure, C., B. Barnett, E. A. Felts, M. Davison, N. Smith, B. A. Knoth, J. R. Poole, and S. F. Feeken. 2021. Idaho Anadromous Emigrant Monitoring, 2020 Annual Report. IDFG Report Number 21-11:65.</w:t>
      </w:r>
    </w:p>
    <w:p w14:paraId="6DEA6B82" w14:textId="77777777" w:rsidR="00B40F81" w:rsidRDefault="00CA7264" w:rsidP="004861F7">
      <w:pPr>
        <w:pStyle w:val="Bibliography"/>
        <w:spacing w:after="0"/>
        <w:ind w:left="720" w:hanging="720"/>
        <w:contextualSpacing/>
      </w:pPr>
      <w:bookmarkStart w:id="51" w:name="ref-McElhany2000"/>
      <w:bookmarkEnd w:id="50"/>
      <w:r>
        <w:t xml:space="preserve">McElhany, P., M. H. Ruckelshaus, M. J. Ford, T. C. Wainwright, and E. P. Bjorkstedt. 2000. Viable salmonid populations and the recovery of evolutionarily significant units. U.S. </w:t>
      </w:r>
      <w:r>
        <w:lastRenderedPageBreak/>
        <w:t>Department of Commerce, National Oceanic and Atmospheric Administration, Technical Memo. NMFS-NWFSC-42.:156 pp.</w:t>
      </w:r>
    </w:p>
    <w:p w14:paraId="552B5B70" w14:textId="77777777" w:rsidR="00B40F81" w:rsidRDefault="00CA7264" w:rsidP="004861F7">
      <w:pPr>
        <w:pStyle w:val="Bibliography"/>
        <w:spacing w:after="0"/>
        <w:ind w:left="720" w:hanging="720"/>
        <w:contextualSpacing/>
      </w:pPr>
      <w:bookmarkStart w:id="52" w:name="ref-Moss2016"/>
      <w:bookmarkEnd w:id="51"/>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B5FCDFF" w14:textId="77777777" w:rsidR="00B40F81" w:rsidRDefault="00CA7264" w:rsidP="004861F7">
      <w:pPr>
        <w:pStyle w:val="Bibliography"/>
        <w:spacing w:after="0"/>
        <w:ind w:left="720" w:hanging="720"/>
        <w:contextualSpacing/>
      </w:pPr>
      <w:bookmarkStart w:id="53" w:name="ref-Murphy2021"/>
      <w:bookmarkEnd w:id="52"/>
      <w:r>
        <w:t>Murphy, C. A., J. D. Romer, K. Stertz, I. Arismendi, R. Emig, F. Monzyk, and S. L. Johnson. 2021. Damming salmon fry: Evidence for predation by non-native warmwater fishes in reservoirs. Ecosphere 12(9):e03757.</w:t>
      </w:r>
    </w:p>
    <w:p w14:paraId="256EA893" w14:textId="77777777" w:rsidR="00B40F81" w:rsidRDefault="00CA7264" w:rsidP="004861F7">
      <w:pPr>
        <w:pStyle w:val="Bibliography"/>
        <w:spacing w:after="0"/>
        <w:ind w:left="720" w:hanging="720"/>
        <w:contextualSpacing/>
      </w:pPr>
      <w:bookmarkStart w:id="54" w:name="ref-NOAA2017"/>
      <w:bookmarkEnd w:id="53"/>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2145C979" w14:textId="77777777" w:rsidR="00B40F81" w:rsidRDefault="00CA7264" w:rsidP="004861F7">
      <w:pPr>
        <w:pStyle w:val="Bibliography"/>
        <w:spacing w:after="0"/>
        <w:ind w:left="720" w:hanging="720"/>
        <w:contextualSpacing/>
      </w:pPr>
      <w:bookmarkStart w:id="55" w:name="ref-Nemeth1999"/>
      <w:bookmarkEnd w:id="54"/>
      <w:r>
        <w:t>Nemeth, D. J., and R. B. Kiefer. 1999. Snake River spring and summer Chinook Salmon choice for recovery. Fisheries 24(10):16–23.</w:t>
      </w:r>
    </w:p>
    <w:p w14:paraId="0D4EF808" w14:textId="77777777" w:rsidR="00B40F81" w:rsidRDefault="00CA7264" w:rsidP="004861F7">
      <w:pPr>
        <w:pStyle w:val="Bibliography"/>
        <w:spacing w:after="0"/>
        <w:ind w:left="720" w:hanging="720"/>
        <w:contextualSpacing/>
      </w:pPr>
      <w:bookmarkStart w:id="56" w:name="ref-Parker1995"/>
      <w:bookmarkEnd w:id="55"/>
      <w:r>
        <w:t>Parker, R. M., M. P. Zimmerman, and D. L. Ward. 1995. Variability in biological characteristics of Northern Squawfish in the lower Columbia and Snake rivers 124:335–346.</w:t>
      </w:r>
    </w:p>
    <w:p w14:paraId="298E12EA" w14:textId="77777777" w:rsidR="00B40F81" w:rsidRDefault="00CA7264" w:rsidP="004861F7">
      <w:pPr>
        <w:pStyle w:val="Bibliography"/>
        <w:spacing w:after="0"/>
        <w:ind w:left="720" w:hanging="720"/>
        <w:contextualSpacing/>
      </w:pPr>
      <w:bookmarkStart w:id="57" w:name="ref-Petersen1994"/>
      <w:bookmarkEnd w:id="56"/>
      <w:r>
        <w:t>Petersen, J. H. 1994. Importance of spatial pattern in estimating predation on juvenile salmonids in the Columbia River. Transactions of the American Fisheries Society 123(6):924–930.</w:t>
      </w:r>
    </w:p>
    <w:p w14:paraId="4A7863D6" w14:textId="77777777" w:rsidR="00B40F81" w:rsidRDefault="00CA7264" w:rsidP="004861F7">
      <w:pPr>
        <w:pStyle w:val="Bibliography"/>
        <w:spacing w:after="0"/>
        <w:ind w:left="720" w:hanging="720"/>
        <w:contextualSpacing/>
      </w:pPr>
      <w:bookmarkStart w:id="58" w:name="ref-Petersen1999"/>
      <w:bookmarkEnd w:id="57"/>
      <w:r>
        <w:t>Petersen, J. H., and D. L. Ward. 1999. Development and corroboration of a bioenergetics model for Northern Pikeminnow feeding on juvenile salmonids in the Columbia River. Transactions of the American Fisheries Society 128(5):784–801.</w:t>
      </w:r>
    </w:p>
    <w:p w14:paraId="079AF7DD" w14:textId="77777777" w:rsidR="00B40F81" w:rsidRDefault="00CA7264" w:rsidP="004861F7">
      <w:pPr>
        <w:pStyle w:val="Bibliography"/>
        <w:spacing w:after="0"/>
        <w:ind w:left="720" w:hanging="720"/>
        <w:contextualSpacing/>
      </w:pPr>
      <w:bookmarkStart w:id="59" w:name="ref-Poe1991"/>
      <w:bookmarkEnd w:id="58"/>
      <w:r>
        <w:lastRenderedPageBreak/>
        <w:t>Poe, T. E., H. C. Hansel, S. Vigg, D. E. Palmer, and L. A. Prendergast. 1991. Feeding of predaceous fishes on out-migrating juvenile salmonids in John Day Reservoir, Columbia River. Transactions of the American Fisheries Society 120(4):405–420.</w:t>
      </w:r>
    </w:p>
    <w:p w14:paraId="5F239B12" w14:textId="77777777" w:rsidR="00B40F81" w:rsidRDefault="00CA7264" w:rsidP="004861F7">
      <w:pPr>
        <w:pStyle w:val="Bibliography"/>
        <w:spacing w:after="0"/>
        <w:ind w:left="720" w:hanging="720"/>
        <w:contextualSpacing/>
      </w:pPr>
      <w:bookmarkStart w:id="60" w:name="ref-Poole2019"/>
      <w:bookmarkEnd w:id="59"/>
      <w:r>
        <w:t>Poole, J. R., E. Felts, M. Dobos, B. Barnett, M. Davison, C. J. Roth, B. A. Knoth, and E. J. Stark. 2019. Idaho Anadromous Emigrant Monitoring, 2018 Annual Report. IDFG Report Number 19-11:71.</w:t>
      </w:r>
    </w:p>
    <w:p w14:paraId="7400EDCF" w14:textId="77777777" w:rsidR="00B40F81" w:rsidRDefault="00CA7264" w:rsidP="004861F7">
      <w:pPr>
        <w:pStyle w:val="Bibliography"/>
        <w:spacing w:after="0"/>
        <w:ind w:left="720" w:hanging="720"/>
        <w:contextualSpacing/>
      </w:pPr>
      <w:bookmarkStart w:id="61" w:name="ref-Porter2019"/>
      <w:bookmarkEnd w:id="60"/>
      <w:r>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62B00A18" w14:textId="77777777" w:rsidR="00B40F81" w:rsidRDefault="00CA7264" w:rsidP="004861F7">
      <w:pPr>
        <w:pStyle w:val="Bibliography"/>
        <w:spacing w:after="0"/>
        <w:ind w:left="720" w:hanging="720"/>
        <w:contextualSpacing/>
      </w:pPr>
      <w:bookmarkStart w:id="62" w:name="ref-QGISDevelopmentTeam2022"/>
      <w:bookmarkEnd w:id="61"/>
      <w:r>
        <w:t>QGIS Development Team. 2022. QGIS Geographic Information System. Open Source Geospatial Foundation.</w:t>
      </w:r>
    </w:p>
    <w:p w14:paraId="16802A24" w14:textId="77777777" w:rsidR="00B40F81" w:rsidRDefault="00CA7264" w:rsidP="004861F7">
      <w:pPr>
        <w:pStyle w:val="Bibliography"/>
        <w:spacing w:after="0"/>
        <w:ind w:left="720" w:hanging="720"/>
        <w:contextualSpacing/>
      </w:pPr>
      <w:bookmarkStart w:id="63" w:name="ref-RCoreTeam2021"/>
      <w:bookmarkEnd w:id="62"/>
      <w:r>
        <w:t>R Core Team. 2021. R: A language and environment for statistical computing. R Foundation for Statistical Computing, Vienna, Austria.</w:t>
      </w:r>
    </w:p>
    <w:p w14:paraId="4DDD5E60" w14:textId="40082482" w:rsidR="00B40F81" w:rsidRDefault="00CA7264" w:rsidP="004861F7">
      <w:pPr>
        <w:pStyle w:val="Bibliography"/>
        <w:spacing w:after="0"/>
        <w:ind w:left="720" w:hanging="720"/>
        <w:contextualSpacing/>
      </w:pPr>
      <w:bookmarkStart w:id="64" w:name="ref-Reichmuth1985"/>
      <w:bookmarkEnd w:id="63"/>
      <w:r>
        <w:t xml:space="preserve">Reichmuth, D., A. Potter, M. Knops, and M. Leaverton. 1985. Reducing Ice Jams Along the Salmon River Deadwater Reach: Problems, Proposals and Prospects. A Prelminary Review, Evaluation and Proposal. Page 69. </w:t>
      </w:r>
      <w:proofErr w:type="spellStart"/>
      <w:r>
        <w:t>Geomax</w:t>
      </w:r>
      <w:proofErr w:type="spellEnd"/>
      <w:r w:rsidR="004861F7">
        <w:t>.</w:t>
      </w:r>
      <w:r>
        <w:t xml:space="preserve"> Prepared for Idaho Department of Fish and Game.</w:t>
      </w:r>
    </w:p>
    <w:p w14:paraId="407A64AA" w14:textId="77777777" w:rsidR="00B40F81" w:rsidRDefault="00CA7264" w:rsidP="004861F7">
      <w:pPr>
        <w:pStyle w:val="Bibliography"/>
        <w:spacing w:after="0"/>
        <w:ind w:left="720" w:hanging="720"/>
        <w:contextualSpacing/>
      </w:pPr>
      <w:bookmarkStart w:id="65" w:name="ref-Roni2018"/>
      <w:bookmarkEnd w:id="64"/>
      <w:r>
        <w:t>Roni, P., P. J. Anders, T. J. Beechie, and D. J. Kaplowe. 2018. Review of tools for identifying, planning, and implementing habitat restoration for Pacific salmon and steelhead. North American Journal of Fisheries Management 38(2):355–376.</w:t>
      </w:r>
    </w:p>
    <w:p w14:paraId="327494CA" w14:textId="77777777" w:rsidR="00B40F81" w:rsidRDefault="00CA7264" w:rsidP="004861F7">
      <w:pPr>
        <w:pStyle w:val="Bibliography"/>
        <w:spacing w:after="0"/>
        <w:ind w:left="720" w:hanging="720"/>
        <w:contextualSpacing/>
      </w:pPr>
      <w:bookmarkStart w:id="66" w:name="ref-Rubenson2020"/>
      <w:bookmarkEnd w:id="65"/>
      <w:r>
        <w:lastRenderedPageBreak/>
        <w:t>Rubenson, E. S., D. J. Lawrence, and J. D. Olden. 2020. Threats to rearing juvenile Chinook Salmon from nonnative Smallmouth Bass inferred from stable isotope and fatty acid biomarkers. Transactions of the American Fisheries Society 149(3):350–363.</w:t>
      </w:r>
    </w:p>
    <w:p w14:paraId="3D7CEAB7" w14:textId="77777777" w:rsidR="00B40F81" w:rsidRDefault="00CA7264" w:rsidP="004861F7">
      <w:pPr>
        <w:pStyle w:val="Bibliography"/>
        <w:spacing w:after="0"/>
        <w:ind w:left="720" w:hanging="720"/>
        <w:contextualSpacing/>
      </w:pPr>
      <w:bookmarkStart w:id="67" w:name="ref-Shively1996"/>
      <w:bookmarkEnd w:id="66"/>
      <w:r>
        <w:t>Shively, R. S., T. P. Poe, M. B. Sheer, and R. Peters. 1996. Criteria for reducing predation by Northern Squawfish near juvenile salmonid bypass outfalls at Columbia River dams. Regulated Rivers: Research &amp; Management 12(4-5):493–500.</w:t>
      </w:r>
    </w:p>
    <w:p w14:paraId="7C454671" w14:textId="77777777" w:rsidR="00B40F81" w:rsidRDefault="00CA7264" w:rsidP="004861F7">
      <w:pPr>
        <w:pStyle w:val="Bibliography"/>
        <w:spacing w:after="0"/>
        <w:ind w:left="720" w:hanging="720"/>
        <w:contextualSpacing/>
      </w:pPr>
      <w:bookmarkStart w:id="68" w:name="ref-Tabor1993"/>
      <w:bookmarkEnd w:id="67"/>
      <w:r>
        <w:t>Tabor, R. A., R. S. Shively, and T. P. Poe. 1993. Predation of juvenile salmonids by Smallmouth Bass and Northern Pikeminnow in the Columbia River near Richland, Washington. North American Journal of Fisheries Management 13(4):831–838.</w:t>
      </w:r>
    </w:p>
    <w:p w14:paraId="08AC66B3" w14:textId="77777777" w:rsidR="00B40F81" w:rsidRDefault="00CA7264" w:rsidP="004861F7">
      <w:pPr>
        <w:pStyle w:val="Bibliography"/>
        <w:spacing w:after="0"/>
        <w:ind w:left="720" w:hanging="720"/>
        <w:contextualSpacing/>
      </w:pPr>
      <w:bookmarkStart w:id="69" w:name="ref-USACE1986"/>
      <w:bookmarkEnd w:id="68"/>
      <w:r>
        <w:t>USACE. 1986. Salmon River Flood Damage Reduction. Lemhi County, Idaho. Detailed Project Report and Environmental Impact Statement. Page 705. US Army Corps of Engineers.</w:t>
      </w:r>
    </w:p>
    <w:p w14:paraId="58EC8810" w14:textId="77777777" w:rsidR="00B40F81" w:rsidRDefault="00CA7264" w:rsidP="004861F7">
      <w:pPr>
        <w:pStyle w:val="Bibliography"/>
        <w:spacing w:after="0"/>
        <w:ind w:left="720" w:hanging="720"/>
        <w:contextualSpacing/>
      </w:pPr>
      <w:bookmarkStart w:id="70" w:name="ref-Venditti2000"/>
      <w:bookmarkEnd w:id="69"/>
      <w:r>
        <w:t>Venditti, D. A., D. W. Rondorf, and J. M. Kraut. 2000. Migratory behavior and forebay delay of radio-tagged juvenile fall Chinook Salmon in a lower Snake River impoundment. North American Journal of Fisheries Management 20(1):41–52.</w:t>
      </w:r>
    </w:p>
    <w:p w14:paraId="052CC002" w14:textId="77777777" w:rsidR="00B40F81" w:rsidRDefault="00CA7264" w:rsidP="004861F7">
      <w:pPr>
        <w:pStyle w:val="Bibliography"/>
        <w:spacing w:after="0"/>
        <w:ind w:left="720" w:hanging="720"/>
        <w:contextualSpacing/>
      </w:pPr>
      <w:bookmarkStart w:id="71" w:name="ref-Ward1995"/>
      <w:bookmarkEnd w:id="70"/>
      <w:r>
        <w:t>Ward, D. L., J. H. Petersen, and J. J. Loch. 1995. Index of predation on juvenile salmonids by Northern Squawfish in the lower and middle Columbia River and in the lower Snake River. Transactions of the American Fisheries Society 124:321–334.</w:t>
      </w:r>
    </w:p>
    <w:p w14:paraId="20CEB950" w14:textId="77777777" w:rsidR="00B40F81" w:rsidRDefault="00CA7264" w:rsidP="004861F7">
      <w:pPr>
        <w:pStyle w:val="Bibliography"/>
        <w:spacing w:after="0"/>
        <w:ind w:left="720" w:hanging="720"/>
        <w:contextualSpacing/>
      </w:pPr>
      <w:bookmarkStart w:id="72" w:name="ref-Wasowicz1994"/>
      <w:bookmarkEnd w:id="71"/>
      <w:r>
        <w:t>Wasowicz, A., and R. A. Valdez. 1994. A nonlethal technique to recover gut contents of Roundtail Chub. North American Journal of Fisheries Management 14(3):656–658.</w:t>
      </w:r>
    </w:p>
    <w:p w14:paraId="35A7E876" w14:textId="77777777" w:rsidR="00B40F81" w:rsidRDefault="00CA7264" w:rsidP="004861F7">
      <w:pPr>
        <w:pStyle w:val="Bibliography"/>
        <w:spacing w:after="0"/>
        <w:ind w:left="720" w:hanging="720"/>
        <w:contextualSpacing/>
      </w:pPr>
      <w:bookmarkStart w:id="73" w:name="ref-White2021"/>
      <w:bookmarkEnd w:id="72"/>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058DCBC4" w14:textId="77777777" w:rsidR="00B40F81" w:rsidRDefault="00CA7264" w:rsidP="004861F7">
      <w:pPr>
        <w:pStyle w:val="Bibliography"/>
        <w:spacing w:after="0"/>
        <w:ind w:left="720" w:hanging="720"/>
        <w:contextualSpacing/>
      </w:pPr>
      <w:bookmarkStart w:id="74" w:name="ref-Widener2021"/>
      <w:bookmarkEnd w:id="73"/>
      <w:r>
        <w:lastRenderedPageBreak/>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2BCEC9F6" w14:textId="77777777" w:rsidR="00B40F81" w:rsidRDefault="00CA7264" w:rsidP="004861F7">
      <w:pPr>
        <w:pStyle w:val="Bibliography"/>
        <w:spacing w:after="0"/>
        <w:ind w:left="720" w:hanging="720"/>
        <w:contextualSpacing/>
      </w:pPr>
      <w:bookmarkStart w:id="75" w:name="ref-Winther2020"/>
      <w:bookmarkEnd w:id="74"/>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3726BF34" w14:textId="77777777" w:rsidR="00B40F81" w:rsidRDefault="00CA7264" w:rsidP="004861F7">
      <w:pPr>
        <w:pStyle w:val="Bibliography"/>
        <w:spacing w:after="0"/>
        <w:ind w:left="720" w:hanging="720"/>
        <w:contextualSpacing/>
      </w:pPr>
      <w:bookmarkStart w:id="76" w:name="ref-Wydoski2003"/>
      <w:bookmarkEnd w:id="75"/>
      <w:r>
        <w:t>Wydoski, R. S., and R. R. Whitney. 2003. Inland fishes of Washington: Second edition, revised and expanded. University of Washington Press.</w:t>
      </w:r>
    </w:p>
    <w:p w14:paraId="648209C0" w14:textId="77777777" w:rsidR="00B40F81" w:rsidRDefault="00CA7264" w:rsidP="004861F7">
      <w:pPr>
        <w:pStyle w:val="Bibliography"/>
        <w:spacing w:after="0"/>
        <w:ind w:left="720" w:hanging="720"/>
        <w:contextualSpacing/>
      </w:pPr>
      <w:bookmarkStart w:id="77" w:name="ref-Zimmerman1999"/>
      <w:bookmarkEnd w:id="76"/>
      <w:r>
        <w:t>Zimmerman, M. P., and D. L. Ward. 1999. Index of predation on juvenile salmonids by Northern Pikeminnow in the lower Columbia River basin from 1994-96. Transactions of the American Fisheries Society 128(6):995–1007.</w:t>
      </w:r>
    </w:p>
    <w:p w14:paraId="6BBCFF1C" w14:textId="77777777" w:rsidR="00B40F81" w:rsidRDefault="00CA7264" w:rsidP="004861F7">
      <w:pPr>
        <w:pStyle w:val="Bibliography"/>
        <w:spacing w:after="0"/>
        <w:ind w:left="720" w:hanging="720"/>
        <w:contextualSpacing/>
      </w:pPr>
      <w:bookmarkStart w:id="78" w:name="ref-Zimmerman2012"/>
      <w:bookmarkEnd w:id="77"/>
      <w:r>
        <w:t>Zimmerman, M., K. Krueger, P. Roni, B. Bilby, J. Walters, and T. Quinn. 2012. Intensively Monitored Watersheds Program: An updated plan to monitor fish and habitat responses to restoration actions in the lower Columbia watersheds:41.</w:t>
      </w:r>
    </w:p>
    <w:bookmarkEnd w:id="17"/>
    <w:bookmarkEnd w:id="78"/>
    <w:p w14:paraId="4C93D8BF" w14:textId="77777777" w:rsidR="00B40F81" w:rsidRDefault="00CA7264">
      <w:r>
        <w:br w:type="page"/>
      </w:r>
    </w:p>
    <w:p w14:paraId="5EEEEFBA" w14:textId="77777777" w:rsidR="00B40F81" w:rsidRDefault="00CA7264">
      <w:pPr>
        <w:pStyle w:val="Heading1"/>
      </w:pPr>
      <w:bookmarkStart w:id="79" w:name="tables"/>
      <w:bookmarkEnd w:id="15"/>
      <w:r>
        <w:lastRenderedPageBreak/>
        <w:t>Tables</w:t>
      </w:r>
    </w:p>
    <w:p w14:paraId="0F6F9255" w14:textId="6A5BA1EF" w:rsidR="00B40F81" w:rsidRDefault="00C7224F">
      <w:pPr>
        <w:pStyle w:val="TableCaption"/>
      </w:pPr>
      <w:r>
        <w:t xml:space="preserve">TABLE 1. </w:t>
      </w:r>
      <w:r w:rsidR="00CA7264">
        <w:t>Summary of Northern Pikeminnow angling survey data. Fall surveys included mark and recapture weeks for the single census estimate. Spring surveys included only a single capture week to estimate catch-per-unit-effort.</w:t>
      </w:r>
    </w:p>
    <w:tbl>
      <w:tblPr>
        <w:tblStyle w:val="PlainTable1"/>
        <w:tblW w:w="7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896"/>
        <w:gridCol w:w="994"/>
        <w:gridCol w:w="1369"/>
        <w:gridCol w:w="1278"/>
        <w:gridCol w:w="1372"/>
        <w:gridCol w:w="870"/>
      </w:tblGrid>
      <w:tr w:rsidR="00942361" w14:paraId="16D95598" w14:textId="77777777" w:rsidTr="00F64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Borders>
              <w:top w:val="single" w:sz="4" w:space="0" w:color="auto"/>
              <w:bottom w:val="single" w:sz="4" w:space="0" w:color="auto"/>
            </w:tcBorders>
            <w:vAlign w:val="center"/>
          </w:tcPr>
          <w:p w14:paraId="1D49E9D1" w14:textId="77777777" w:rsidR="00942361" w:rsidRPr="00942361" w:rsidRDefault="00942361" w:rsidP="002F3EBD">
            <w:pPr>
              <w:spacing w:line="240" w:lineRule="auto"/>
              <w:jc w:val="center"/>
              <w:rPr>
                <w:b w:val="0"/>
                <w:bCs w:val="0"/>
              </w:rPr>
            </w:pPr>
            <w:r w:rsidRPr="00942361">
              <w:rPr>
                <w:b w:val="0"/>
                <w:bCs w:val="0"/>
              </w:rPr>
              <w:t>Survey</w:t>
            </w:r>
          </w:p>
        </w:tc>
        <w:tc>
          <w:tcPr>
            <w:tcW w:w="896" w:type="dxa"/>
            <w:tcBorders>
              <w:top w:val="single" w:sz="4" w:space="0" w:color="auto"/>
              <w:bottom w:val="single" w:sz="4" w:space="0" w:color="auto"/>
            </w:tcBorders>
            <w:vAlign w:val="center"/>
          </w:tcPr>
          <w:p w14:paraId="379BBE55" w14:textId="77777777" w:rsidR="00942361" w:rsidRPr="00942361" w:rsidRDefault="00942361" w:rsidP="002F3EB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Survey Week</w:t>
            </w:r>
          </w:p>
        </w:tc>
        <w:tc>
          <w:tcPr>
            <w:tcW w:w="994" w:type="dxa"/>
            <w:tcBorders>
              <w:top w:val="single" w:sz="4" w:space="0" w:color="auto"/>
              <w:bottom w:val="single" w:sz="4" w:space="0" w:color="auto"/>
            </w:tcBorders>
            <w:vAlign w:val="center"/>
          </w:tcPr>
          <w:p w14:paraId="6CE1A0B0" w14:textId="77777777" w:rsidR="00942361" w:rsidRPr="00942361" w:rsidRDefault="00942361" w:rsidP="002F3EB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Date</w:t>
            </w:r>
          </w:p>
        </w:tc>
        <w:tc>
          <w:tcPr>
            <w:tcW w:w="0" w:type="auto"/>
            <w:tcBorders>
              <w:top w:val="single" w:sz="4" w:space="0" w:color="auto"/>
              <w:bottom w:val="single" w:sz="4" w:space="0" w:color="auto"/>
            </w:tcBorders>
            <w:vAlign w:val="center"/>
          </w:tcPr>
          <w:p w14:paraId="26DE69AA" w14:textId="77777777" w:rsidR="00942361" w:rsidRPr="00942361" w:rsidRDefault="00942361" w:rsidP="002F3EB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Fish Caught</w:t>
            </w:r>
          </w:p>
        </w:tc>
        <w:tc>
          <w:tcPr>
            <w:tcW w:w="1278" w:type="dxa"/>
            <w:tcBorders>
              <w:top w:val="single" w:sz="4" w:space="0" w:color="auto"/>
              <w:bottom w:val="single" w:sz="4" w:space="0" w:color="auto"/>
            </w:tcBorders>
            <w:vAlign w:val="center"/>
          </w:tcPr>
          <w:p w14:paraId="3D885DA0" w14:textId="77777777" w:rsidR="00942361" w:rsidRPr="00942361" w:rsidRDefault="00942361" w:rsidP="002F3EB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Marked Fish Caught</w:t>
            </w:r>
          </w:p>
        </w:tc>
        <w:tc>
          <w:tcPr>
            <w:tcW w:w="1372" w:type="dxa"/>
            <w:tcBorders>
              <w:top w:val="single" w:sz="4" w:space="0" w:color="auto"/>
              <w:bottom w:val="single" w:sz="4" w:space="0" w:color="auto"/>
            </w:tcBorders>
            <w:vAlign w:val="center"/>
          </w:tcPr>
          <w:p w14:paraId="337C85D0" w14:textId="77777777" w:rsidR="00942361" w:rsidRPr="00942361" w:rsidRDefault="00942361" w:rsidP="002F3EB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Marked Fish Returned</w:t>
            </w:r>
          </w:p>
        </w:tc>
        <w:tc>
          <w:tcPr>
            <w:tcW w:w="870" w:type="dxa"/>
            <w:tcBorders>
              <w:top w:val="single" w:sz="4" w:space="0" w:color="auto"/>
              <w:bottom w:val="single" w:sz="4" w:space="0" w:color="auto"/>
            </w:tcBorders>
            <w:vAlign w:val="center"/>
          </w:tcPr>
          <w:p w14:paraId="4B26495D" w14:textId="77777777" w:rsidR="00942361" w:rsidRPr="00942361" w:rsidRDefault="00942361" w:rsidP="002F3EB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CPUE</w:t>
            </w:r>
          </w:p>
        </w:tc>
      </w:tr>
      <w:tr w:rsidR="00942361" w14:paraId="367171FD"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val="restart"/>
            <w:tcBorders>
              <w:top w:val="single" w:sz="4" w:space="0" w:color="auto"/>
            </w:tcBorders>
            <w:shd w:val="clear" w:color="auto" w:fill="FFFFFF" w:themeFill="background1"/>
            <w:vAlign w:val="center"/>
          </w:tcPr>
          <w:p w14:paraId="2AB575C5" w14:textId="77777777" w:rsidR="00942361" w:rsidRPr="00942361" w:rsidRDefault="00942361" w:rsidP="002F3EBD">
            <w:pPr>
              <w:spacing w:line="240" w:lineRule="auto"/>
              <w:jc w:val="center"/>
              <w:rPr>
                <w:b w:val="0"/>
                <w:bCs w:val="0"/>
              </w:rPr>
            </w:pPr>
            <w:r w:rsidRPr="00942361">
              <w:rPr>
                <w:b w:val="0"/>
                <w:bCs w:val="0"/>
              </w:rPr>
              <w:t>Fall 2019</w:t>
            </w:r>
          </w:p>
        </w:tc>
        <w:tc>
          <w:tcPr>
            <w:tcW w:w="896" w:type="dxa"/>
            <w:vMerge w:val="restart"/>
            <w:tcBorders>
              <w:top w:val="single" w:sz="4" w:space="0" w:color="auto"/>
            </w:tcBorders>
            <w:shd w:val="clear" w:color="auto" w:fill="FFFFFF" w:themeFill="background1"/>
            <w:vAlign w:val="center"/>
          </w:tcPr>
          <w:p w14:paraId="0E73E055"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0E71E796"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42CE1CA4"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29</w:t>
            </w:r>
          </w:p>
        </w:tc>
        <w:tc>
          <w:tcPr>
            <w:tcW w:w="1278" w:type="dxa"/>
            <w:tcBorders>
              <w:top w:val="single" w:sz="4" w:space="0" w:color="auto"/>
            </w:tcBorders>
            <w:shd w:val="clear" w:color="auto" w:fill="FFFFFF" w:themeFill="background1"/>
            <w:vAlign w:val="center"/>
          </w:tcPr>
          <w:p w14:paraId="782D8D6D"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tcBorders>
              <w:top w:val="single" w:sz="4" w:space="0" w:color="auto"/>
            </w:tcBorders>
            <w:shd w:val="clear" w:color="auto" w:fill="FFFFFF" w:themeFill="background1"/>
            <w:vAlign w:val="center"/>
          </w:tcPr>
          <w:p w14:paraId="0697843D"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7DB8D287"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1.83</w:t>
            </w:r>
          </w:p>
        </w:tc>
      </w:tr>
      <w:tr w:rsidR="00942361" w14:paraId="08A060D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392ED4F2"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54AC202E"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6A5B5D80"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4E1EDAB4"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1278" w:type="dxa"/>
            <w:shd w:val="clear" w:color="auto" w:fill="FFFFFF" w:themeFill="background1"/>
            <w:vAlign w:val="center"/>
          </w:tcPr>
          <w:p w14:paraId="10B9181D"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27DED984"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2B4B73A6"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4695D4C"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0BB051DB"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0640FD0D"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638A1EF"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45A908DE"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1278" w:type="dxa"/>
            <w:shd w:val="clear" w:color="auto" w:fill="FFFFFF" w:themeFill="background1"/>
            <w:vAlign w:val="center"/>
          </w:tcPr>
          <w:p w14:paraId="00C60B96"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48B7324A"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37110E96"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41DD6DF7"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92CE70D" w14:textId="77777777" w:rsidR="00942361" w:rsidRPr="00942361" w:rsidRDefault="00942361" w:rsidP="002F3EBD">
            <w:pPr>
              <w:spacing w:line="240" w:lineRule="auto"/>
              <w:jc w:val="center"/>
              <w:rPr>
                <w:b w:val="0"/>
                <w:bCs w:val="0"/>
              </w:rPr>
            </w:pPr>
          </w:p>
        </w:tc>
        <w:tc>
          <w:tcPr>
            <w:tcW w:w="896" w:type="dxa"/>
            <w:vMerge w:val="restart"/>
            <w:shd w:val="clear" w:color="auto" w:fill="FFFFFF" w:themeFill="background1"/>
            <w:vAlign w:val="center"/>
          </w:tcPr>
          <w:p w14:paraId="4AA8D1A3"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497F340E"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FFCCEC2"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149</w:t>
            </w:r>
          </w:p>
        </w:tc>
        <w:tc>
          <w:tcPr>
            <w:tcW w:w="1278" w:type="dxa"/>
            <w:shd w:val="clear" w:color="auto" w:fill="FFFFFF" w:themeFill="background1"/>
            <w:vAlign w:val="center"/>
          </w:tcPr>
          <w:p w14:paraId="1094C1DF"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1372" w:type="dxa"/>
            <w:shd w:val="clear" w:color="auto" w:fill="FFFFFF" w:themeFill="background1"/>
            <w:vAlign w:val="center"/>
          </w:tcPr>
          <w:p w14:paraId="35DE2FE0"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27DF7021"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46A8DE0B"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66D07D9C"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676FC48D"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45D4513B"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7D3D0F82"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104</w:t>
            </w:r>
          </w:p>
        </w:tc>
        <w:tc>
          <w:tcPr>
            <w:tcW w:w="1278" w:type="dxa"/>
            <w:shd w:val="clear" w:color="auto" w:fill="FFFFFF" w:themeFill="background1"/>
            <w:vAlign w:val="center"/>
          </w:tcPr>
          <w:p w14:paraId="2A88EE95"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2358373"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3A00AAE5"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1A07E2AC"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575B3771"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616AD605"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5AA17434"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shd w:val="clear" w:color="auto" w:fill="FFFFFF" w:themeFill="background1"/>
            <w:vAlign w:val="center"/>
          </w:tcPr>
          <w:p w14:paraId="7EF3C86D"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143</w:t>
            </w:r>
          </w:p>
        </w:tc>
        <w:tc>
          <w:tcPr>
            <w:tcW w:w="1278" w:type="dxa"/>
            <w:shd w:val="clear" w:color="auto" w:fill="FFFFFF" w:themeFill="background1"/>
            <w:vAlign w:val="center"/>
          </w:tcPr>
          <w:p w14:paraId="695D001F"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FDA8F49"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shd w:val="clear" w:color="auto" w:fill="FFFFFF" w:themeFill="background1"/>
            <w:vAlign w:val="center"/>
          </w:tcPr>
          <w:p w14:paraId="6EB7BE2E"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0F094D" w14:paraId="65DB41E2"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shd w:val="clear" w:color="auto" w:fill="FFFFFF" w:themeFill="background1"/>
            <w:vAlign w:val="center"/>
          </w:tcPr>
          <w:p w14:paraId="2240C72D" w14:textId="77777777" w:rsidR="000F094D" w:rsidRPr="00942361" w:rsidRDefault="000F094D" w:rsidP="002F3EBD">
            <w:pPr>
              <w:spacing w:line="240" w:lineRule="auto"/>
              <w:jc w:val="center"/>
              <w:rPr>
                <w:b w:val="0"/>
                <w:bCs w:val="0"/>
              </w:rPr>
            </w:pPr>
          </w:p>
        </w:tc>
        <w:tc>
          <w:tcPr>
            <w:tcW w:w="896" w:type="dxa"/>
            <w:shd w:val="clear" w:color="auto" w:fill="FFFFFF" w:themeFill="background1"/>
            <w:vAlign w:val="center"/>
          </w:tcPr>
          <w:p w14:paraId="2A25BF5F" w14:textId="77777777" w:rsidR="000F094D" w:rsidRDefault="000F094D"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52B77EE" w14:textId="77777777" w:rsidR="000F094D" w:rsidRDefault="000F094D"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FF" w:themeFill="background1"/>
            <w:vAlign w:val="center"/>
          </w:tcPr>
          <w:p w14:paraId="6FA4A5D2" w14:textId="77777777" w:rsidR="000F094D" w:rsidRDefault="000F094D"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1A7A6A9E" w14:textId="77777777" w:rsidR="000F094D" w:rsidRDefault="000F094D"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72" w:type="dxa"/>
            <w:shd w:val="clear" w:color="auto" w:fill="FFFFFF" w:themeFill="background1"/>
            <w:vAlign w:val="center"/>
          </w:tcPr>
          <w:p w14:paraId="6558F6A7" w14:textId="77777777" w:rsidR="000F094D" w:rsidRDefault="000F094D"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870" w:type="dxa"/>
            <w:shd w:val="clear" w:color="auto" w:fill="FFFFFF" w:themeFill="background1"/>
            <w:vAlign w:val="center"/>
          </w:tcPr>
          <w:p w14:paraId="20FB5AE8" w14:textId="77777777" w:rsidR="000F094D" w:rsidRDefault="000F094D"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3E004AA4"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val="restart"/>
            <w:shd w:val="clear" w:color="auto" w:fill="FFFFFF" w:themeFill="background1"/>
            <w:vAlign w:val="center"/>
          </w:tcPr>
          <w:p w14:paraId="3B8FB2FB" w14:textId="77777777" w:rsidR="00942361" w:rsidRPr="00942361" w:rsidRDefault="00942361" w:rsidP="002F3EBD">
            <w:pPr>
              <w:spacing w:line="240" w:lineRule="auto"/>
              <w:jc w:val="center"/>
              <w:rPr>
                <w:b w:val="0"/>
                <w:bCs w:val="0"/>
              </w:rPr>
            </w:pPr>
            <w:r w:rsidRPr="00942361">
              <w:rPr>
                <w:b w:val="0"/>
                <w:bCs w:val="0"/>
              </w:rPr>
              <w:t>Fall 2020</w:t>
            </w:r>
          </w:p>
        </w:tc>
        <w:tc>
          <w:tcPr>
            <w:tcW w:w="896" w:type="dxa"/>
            <w:vMerge w:val="restart"/>
            <w:shd w:val="clear" w:color="auto" w:fill="FFFFFF" w:themeFill="background1"/>
            <w:vAlign w:val="center"/>
          </w:tcPr>
          <w:p w14:paraId="12D22080"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94" w:type="dxa"/>
            <w:shd w:val="clear" w:color="auto" w:fill="FFFFFF" w:themeFill="background1"/>
            <w:vAlign w:val="center"/>
          </w:tcPr>
          <w:p w14:paraId="223595C2"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Oct 20</w:t>
            </w:r>
          </w:p>
        </w:tc>
        <w:tc>
          <w:tcPr>
            <w:tcW w:w="0" w:type="auto"/>
            <w:shd w:val="clear" w:color="auto" w:fill="FFFFFF" w:themeFill="background1"/>
            <w:vAlign w:val="center"/>
          </w:tcPr>
          <w:p w14:paraId="7CBF0359"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173</w:t>
            </w:r>
          </w:p>
        </w:tc>
        <w:tc>
          <w:tcPr>
            <w:tcW w:w="1278" w:type="dxa"/>
            <w:shd w:val="clear" w:color="auto" w:fill="FFFFFF" w:themeFill="background1"/>
            <w:vAlign w:val="center"/>
          </w:tcPr>
          <w:p w14:paraId="46F05F4C"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0E84CB17"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170</w:t>
            </w:r>
          </w:p>
        </w:tc>
        <w:tc>
          <w:tcPr>
            <w:tcW w:w="870" w:type="dxa"/>
            <w:vMerge w:val="restart"/>
            <w:shd w:val="clear" w:color="auto" w:fill="FFFFFF" w:themeFill="background1"/>
            <w:vAlign w:val="center"/>
          </w:tcPr>
          <w:p w14:paraId="176FFB16"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1.23</w:t>
            </w:r>
          </w:p>
        </w:tc>
      </w:tr>
      <w:tr w:rsidR="00942361" w14:paraId="0ED31215"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2C3C52A4"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213B27FC"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7579B02E"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Oct 21</w:t>
            </w:r>
          </w:p>
        </w:tc>
        <w:tc>
          <w:tcPr>
            <w:tcW w:w="0" w:type="auto"/>
            <w:shd w:val="clear" w:color="auto" w:fill="FFFFFF" w:themeFill="background1"/>
            <w:vAlign w:val="center"/>
          </w:tcPr>
          <w:p w14:paraId="5868D968"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188</w:t>
            </w:r>
          </w:p>
        </w:tc>
        <w:tc>
          <w:tcPr>
            <w:tcW w:w="1278" w:type="dxa"/>
            <w:shd w:val="clear" w:color="auto" w:fill="FFFFFF" w:themeFill="background1"/>
            <w:vAlign w:val="center"/>
          </w:tcPr>
          <w:p w14:paraId="49695EFF"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A6E2BE9"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187</w:t>
            </w:r>
          </w:p>
        </w:tc>
        <w:tc>
          <w:tcPr>
            <w:tcW w:w="870" w:type="dxa"/>
            <w:vMerge/>
            <w:shd w:val="clear" w:color="auto" w:fill="FFFFFF" w:themeFill="background1"/>
            <w:vAlign w:val="center"/>
          </w:tcPr>
          <w:p w14:paraId="1F976A3B"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18B56B03"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52696F64"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31E33F46"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5FF2224"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Oct 22</w:t>
            </w:r>
          </w:p>
        </w:tc>
        <w:tc>
          <w:tcPr>
            <w:tcW w:w="0" w:type="auto"/>
            <w:shd w:val="clear" w:color="auto" w:fill="FFFFFF" w:themeFill="background1"/>
            <w:vAlign w:val="center"/>
          </w:tcPr>
          <w:p w14:paraId="57CDA461"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104</w:t>
            </w:r>
          </w:p>
        </w:tc>
        <w:tc>
          <w:tcPr>
            <w:tcW w:w="1278" w:type="dxa"/>
            <w:shd w:val="clear" w:color="auto" w:fill="FFFFFF" w:themeFill="background1"/>
            <w:vAlign w:val="center"/>
          </w:tcPr>
          <w:p w14:paraId="07280D43"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269165A9"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102</w:t>
            </w:r>
          </w:p>
        </w:tc>
        <w:tc>
          <w:tcPr>
            <w:tcW w:w="870" w:type="dxa"/>
            <w:vMerge/>
            <w:shd w:val="clear" w:color="auto" w:fill="FFFFFF" w:themeFill="background1"/>
            <w:vAlign w:val="center"/>
          </w:tcPr>
          <w:p w14:paraId="32F5BF37"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1A6D61B7"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02D71741"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10A3BED4"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74DC96EB"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Oct 23</w:t>
            </w:r>
          </w:p>
        </w:tc>
        <w:tc>
          <w:tcPr>
            <w:tcW w:w="0" w:type="auto"/>
            <w:shd w:val="clear" w:color="auto" w:fill="FFFFFF" w:themeFill="background1"/>
            <w:vAlign w:val="center"/>
          </w:tcPr>
          <w:p w14:paraId="4D96A64A"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1278" w:type="dxa"/>
            <w:shd w:val="clear" w:color="auto" w:fill="FFFFFF" w:themeFill="background1"/>
            <w:vAlign w:val="center"/>
          </w:tcPr>
          <w:p w14:paraId="27763489"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7CCA2277"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71991FFF"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76A76EA9"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14A687E" w14:textId="77777777" w:rsidR="00942361" w:rsidRPr="00942361" w:rsidRDefault="00942361" w:rsidP="002F3EBD">
            <w:pPr>
              <w:spacing w:line="240" w:lineRule="auto"/>
              <w:jc w:val="center"/>
              <w:rPr>
                <w:b w:val="0"/>
                <w:bCs w:val="0"/>
              </w:rPr>
            </w:pPr>
          </w:p>
        </w:tc>
        <w:tc>
          <w:tcPr>
            <w:tcW w:w="896" w:type="dxa"/>
            <w:vMerge w:val="restart"/>
            <w:shd w:val="clear" w:color="auto" w:fill="FFFFFF" w:themeFill="background1"/>
            <w:vAlign w:val="center"/>
          </w:tcPr>
          <w:p w14:paraId="4E97A0C2"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29FF1D67"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Oct 27</w:t>
            </w:r>
          </w:p>
        </w:tc>
        <w:tc>
          <w:tcPr>
            <w:tcW w:w="0" w:type="auto"/>
            <w:shd w:val="clear" w:color="auto" w:fill="FFFFFF" w:themeFill="background1"/>
            <w:vAlign w:val="center"/>
          </w:tcPr>
          <w:p w14:paraId="3B17B39D"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42</w:t>
            </w:r>
          </w:p>
        </w:tc>
        <w:tc>
          <w:tcPr>
            <w:tcW w:w="1278" w:type="dxa"/>
            <w:shd w:val="clear" w:color="auto" w:fill="FFFFFF" w:themeFill="background1"/>
            <w:vAlign w:val="center"/>
          </w:tcPr>
          <w:p w14:paraId="1752548C"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4C822F6A"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3961C3F5"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3323C307"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104D2F60"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7C1F3197"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3BE6524"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Oct 28</w:t>
            </w:r>
          </w:p>
        </w:tc>
        <w:tc>
          <w:tcPr>
            <w:tcW w:w="0" w:type="auto"/>
            <w:shd w:val="clear" w:color="auto" w:fill="FFFFFF" w:themeFill="background1"/>
            <w:vAlign w:val="center"/>
          </w:tcPr>
          <w:p w14:paraId="4A3AF683"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47</w:t>
            </w:r>
          </w:p>
        </w:tc>
        <w:tc>
          <w:tcPr>
            <w:tcW w:w="1278" w:type="dxa"/>
            <w:shd w:val="clear" w:color="auto" w:fill="FFFFFF" w:themeFill="background1"/>
            <w:vAlign w:val="center"/>
          </w:tcPr>
          <w:p w14:paraId="530FD0A9"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20C4D1C4"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46</w:t>
            </w:r>
          </w:p>
        </w:tc>
        <w:tc>
          <w:tcPr>
            <w:tcW w:w="870" w:type="dxa"/>
            <w:vMerge/>
            <w:shd w:val="clear" w:color="auto" w:fill="FFFFFF" w:themeFill="background1"/>
            <w:vAlign w:val="center"/>
          </w:tcPr>
          <w:p w14:paraId="39B01509"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09F0630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DFDA554"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06BC73CA"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6B2D1FF"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Oct 29</w:t>
            </w:r>
          </w:p>
        </w:tc>
        <w:tc>
          <w:tcPr>
            <w:tcW w:w="0" w:type="auto"/>
            <w:shd w:val="clear" w:color="auto" w:fill="FFFFFF" w:themeFill="background1"/>
            <w:vAlign w:val="center"/>
          </w:tcPr>
          <w:p w14:paraId="152ECD4D"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157</w:t>
            </w:r>
          </w:p>
        </w:tc>
        <w:tc>
          <w:tcPr>
            <w:tcW w:w="1278" w:type="dxa"/>
            <w:shd w:val="clear" w:color="auto" w:fill="FFFFFF" w:themeFill="background1"/>
            <w:vAlign w:val="center"/>
          </w:tcPr>
          <w:p w14:paraId="3F86B626"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E06ABF8"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156</w:t>
            </w:r>
          </w:p>
        </w:tc>
        <w:tc>
          <w:tcPr>
            <w:tcW w:w="870" w:type="dxa"/>
            <w:vMerge/>
            <w:shd w:val="clear" w:color="auto" w:fill="FFFFFF" w:themeFill="background1"/>
            <w:vAlign w:val="center"/>
          </w:tcPr>
          <w:p w14:paraId="51000C9A"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7C9645B3"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66142A1B" w14:textId="77777777" w:rsidR="00942361" w:rsidRPr="00942361" w:rsidRDefault="00942361" w:rsidP="002F3EBD">
            <w:pPr>
              <w:spacing w:line="240" w:lineRule="auto"/>
              <w:jc w:val="center"/>
              <w:rPr>
                <w:b w:val="0"/>
                <w:bCs w:val="0"/>
              </w:rPr>
            </w:pPr>
          </w:p>
        </w:tc>
        <w:tc>
          <w:tcPr>
            <w:tcW w:w="896" w:type="dxa"/>
            <w:vMerge/>
            <w:shd w:val="clear" w:color="auto" w:fill="FFFFFF" w:themeFill="background1"/>
            <w:vAlign w:val="center"/>
          </w:tcPr>
          <w:p w14:paraId="2EA045D8"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5A448DB"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Oct 30</w:t>
            </w:r>
          </w:p>
        </w:tc>
        <w:tc>
          <w:tcPr>
            <w:tcW w:w="0" w:type="auto"/>
            <w:shd w:val="clear" w:color="auto" w:fill="FFFFFF" w:themeFill="background1"/>
            <w:vAlign w:val="center"/>
          </w:tcPr>
          <w:p w14:paraId="1A8BEE26"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45</w:t>
            </w:r>
          </w:p>
        </w:tc>
        <w:tc>
          <w:tcPr>
            <w:tcW w:w="1278" w:type="dxa"/>
            <w:shd w:val="clear" w:color="auto" w:fill="FFFFFF" w:themeFill="background1"/>
            <w:vAlign w:val="center"/>
          </w:tcPr>
          <w:p w14:paraId="053BF390"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67FB80ED"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45</w:t>
            </w:r>
          </w:p>
        </w:tc>
        <w:tc>
          <w:tcPr>
            <w:tcW w:w="870" w:type="dxa"/>
            <w:vMerge/>
            <w:shd w:val="clear" w:color="auto" w:fill="FFFFFF" w:themeFill="background1"/>
            <w:vAlign w:val="center"/>
          </w:tcPr>
          <w:p w14:paraId="368DE4FB"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0F094D" w14:paraId="648BCEE6" w14:textId="77777777" w:rsidTr="00F648BD">
        <w:tc>
          <w:tcPr>
            <w:cnfStyle w:val="001000000000" w:firstRow="0" w:lastRow="0" w:firstColumn="1" w:lastColumn="0" w:oddVBand="0" w:evenVBand="0" w:oddHBand="0" w:evenHBand="0" w:firstRowFirstColumn="0" w:firstRowLastColumn="0" w:lastRowFirstColumn="0" w:lastRowLastColumn="0"/>
            <w:tcW w:w="1032" w:type="dxa"/>
            <w:shd w:val="clear" w:color="auto" w:fill="FFFFFF" w:themeFill="background1"/>
            <w:vAlign w:val="center"/>
          </w:tcPr>
          <w:p w14:paraId="61EAD6DD" w14:textId="77777777" w:rsidR="000F094D" w:rsidRPr="00942361" w:rsidRDefault="000F094D" w:rsidP="002F3EBD">
            <w:pPr>
              <w:spacing w:line="240" w:lineRule="auto"/>
              <w:jc w:val="center"/>
              <w:rPr>
                <w:b w:val="0"/>
                <w:bCs w:val="0"/>
              </w:rPr>
            </w:pPr>
          </w:p>
        </w:tc>
        <w:tc>
          <w:tcPr>
            <w:tcW w:w="896" w:type="dxa"/>
            <w:shd w:val="clear" w:color="auto" w:fill="FFFFFF" w:themeFill="background1"/>
            <w:vAlign w:val="center"/>
          </w:tcPr>
          <w:p w14:paraId="0941B4EE" w14:textId="77777777" w:rsidR="000F094D" w:rsidRDefault="000F094D"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8C6BD5E" w14:textId="77777777" w:rsidR="000F094D" w:rsidRDefault="000F094D"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14:paraId="3B5B8DC0" w14:textId="77777777" w:rsidR="000F094D" w:rsidRDefault="000F094D"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FFFFFF" w:themeFill="background1"/>
            <w:vAlign w:val="center"/>
          </w:tcPr>
          <w:p w14:paraId="4259C6FB" w14:textId="77777777" w:rsidR="000F094D" w:rsidRDefault="000F094D"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shd w:val="clear" w:color="auto" w:fill="FFFFFF" w:themeFill="background1"/>
            <w:vAlign w:val="center"/>
          </w:tcPr>
          <w:p w14:paraId="093368EC" w14:textId="77777777" w:rsidR="000F094D" w:rsidRDefault="000F094D"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870" w:type="dxa"/>
            <w:shd w:val="clear" w:color="auto" w:fill="FFFFFF" w:themeFill="background1"/>
            <w:vAlign w:val="center"/>
          </w:tcPr>
          <w:p w14:paraId="144CE221" w14:textId="77777777" w:rsidR="000F094D" w:rsidRDefault="000F094D"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04407B5"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val="restart"/>
            <w:shd w:val="clear" w:color="auto" w:fill="FFFFFF" w:themeFill="background1"/>
            <w:vAlign w:val="center"/>
          </w:tcPr>
          <w:p w14:paraId="2BFCE009" w14:textId="77777777" w:rsidR="00942361" w:rsidRPr="00942361" w:rsidRDefault="00942361" w:rsidP="002F3EBD">
            <w:pPr>
              <w:spacing w:line="240" w:lineRule="auto"/>
              <w:jc w:val="center"/>
              <w:rPr>
                <w:b w:val="0"/>
                <w:bCs w:val="0"/>
              </w:rPr>
            </w:pPr>
            <w:r w:rsidRPr="00942361">
              <w:rPr>
                <w:b w:val="0"/>
                <w:bCs w:val="0"/>
              </w:rPr>
              <w:t>Spring 2021</w:t>
            </w:r>
          </w:p>
        </w:tc>
        <w:tc>
          <w:tcPr>
            <w:tcW w:w="896" w:type="dxa"/>
            <w:vMerge w:val="restart"/>
            <w:shd w:val="clear" w:color="auto" w:fill="FFFFFF" w:themeFill="background1"/>
            <w:vAlign w:val="center"/>
          </w:tcPr>
          <w:p w14:paraId="1F2B846D"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shd w:val="clear" w:color="auto" w:fill="FFFFFF" w:themeFill="background1"/>
            <w:vAlign w:val="center"/>
          </w:tcPr>
          <w:p w14:paraId="63840431"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shd w:val="clear" w:color="auto" w:fill="FFFFFF" w:themeFill="background1"/>
            <w:vAlign w:val="center"/>
          </w:tcPr>
          <w:p w14:paraId="5AA1A749"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85</w:t>
            </w:r>
          </w:p>
        </w:tc>
        <w:tc>
          <w:tcPr>
            <w:tcW w:w="1278" w:type="dxa"/>
            <w:shd w:val="clear" w:color="auto" w:fill="FFFFFF" w:themeFill="background1"/>
            <w:vAlign w:val="center"/>
          </w:tcPr>
          <w:p w14:paraId="069B9369"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1972C83D"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shd w:val="clear" w:color="auto" w:fill="FFFFFF" w:themeFill="background1"/>
            <w:vAlign w:val="center"/>
          </w:tcPr>
          <w:p w14:paraId="63787C43"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0.81</w:t>
            </w:r>
          </w:p>
        </w:tc>
      </w:tr>
      <w:tr w:rsidR="00942361" w14:paraId="47C1C0D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6CE87DC6" w14:textId="77777777" w:rsidR="00942361" w:rsidRDefault="00942361" w:rsidP="002F3EBD">
            <w:pPr>
              <w:spacing w:line="240" w:lineRule="auto"/>
              <w:jc w:val="center"/>
            </w:pPr>
          </w:p>
        </w:tc>
        <w:tc>
          <w:tcPr>
            <w:tcW w:w="896" w:type="dxa"/>
            <w:vMerge/>
            <w:tcBorders>
              <w:bottom w:val="single" w:sz="4" w:space="0" w:color="auto"/>
            </w:tcBorders>
            <w:shd w:val="clear" w:color="auto" w:fill="FFFFFF" w:themeFill="background1"/>
            <w:vAlign w:val="center"/>
          </w:tcPr>
          <w:p w14:paraId="2E2DF8A9"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4A93C3E"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5B78EFFD"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64</w:t>
            </w:r>
          </w:p>
        </w:tc>
        <w:tc>
          <w:tcPr>
            <w:tcW w:w="1278" w:type="dxa"/>
            <w:shd w:val="clear" w:color="auto" w:fill="FFFFFF" w:themeFill="background1"/>
            <w:vAlign w:val="center"/>
          </w:tcPr>
          <w:p w14:paraId="499B921A"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7040DD70"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037C0468"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A5B93E1" w14:textId="77777777" w:rsidTr="000A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6F105870" w14:textId="77777777" w:rsidR="00942361" w:rsidRDefault="00942361" w:rsidP="002F3EBD">
            <w:pPr>
              <w:spacing w:line="240" w:lineRule="auto"/>
              <w:jc w:val="center"/>
            </w:pPr>
          </w:p>
        </w:tc>
        <w:tc>
          <w:tcPr>
            <w:tcW w:w="896" w:type="dxa"/>
            <w:vMerge/>
            <w:tcBorders>
              <w:bottom w:val="single" w:sz="4" w:space="0" w:color="auto"/>
            </w:tcBorders>
            <w:shd w:val="clear" w:color="auto" w:fill="FFFFFF" w:themeFill="background1"/>
            <w:vAlign w:val="center"/>
          </w:tcPr>
          <w:p w14:paraId="611DBA72"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4C8687B2"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6010A129"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41</w:t>
            </w:r>
          </w:p>
        </w:tc>
        <w:tc>
          <w:tcPr>
            <w:tcW w:w="1278" w:type="dxa"/>
            <w:shd w:val="clear" w:color="auto" w:fill="FFFFFF" w:themeFill="background1"/>
            <w:vAlign w:val="center"/>
          </w:tcPr>
          <w:p w14:paraId="79039881"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19FE7B4F"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52CD55A6" w14:textId="77777777" w:rsidR="00942361" w:rsidRDefault="00942361" w:rsidP="002F3EBD">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7A7EE631" w14:textId="77777777" w:rsidTr="000A36E2">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1644D8A9" w14:textId="77777777" w:rsidR="00942361" w:rsidRDefault="00942361" w:rsidP="002F3EBD">
            <w:pPr>
              <w:spacing w:line="240" w:lineRule="auto"/>
              <w:jc w:val="center"/>
            </w:pPr>
          </w:p>
        </w:tc>
        <w:tc>
          <w:tcPr>
            <w:tcW w:w="896" w:type="dxa"/>
            <w:vMerge/>
            <w:tcBorders>
              <w:bottom w:val="single" w:sz="4" w:space="0" w:color="auto"/>
            </w:tcBorders>
            <w:shd w:val="clear" w:color="auto" w:fill="FFFFFF" w:themeFill="background1"/>
            <w:vAlign w:val="center"/>
          </w:tcPr>
          <w:p w14:paraId="6A388E87"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6C0C7A8"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CB8401C"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c>
          <w:tcPr>
            <w:tcW w:w="1278" w:type="dxa"/>
            <w:tcBorders>
              <w:bottom w:val="single" w:sz="4" w:space="0" w:color="auto"/>
            </w:tcBorders>
            <w:shd w:val="clear" w:color="auto" w:fill="FFFFFF" w:themeFill="background1"/>
            <w:vAlign w:val="center"/>
          </w:tcPr>
          <w:p w14:paraId="43806855"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tcBorders>
              <w:bottom w:val="single" w:sz="4" w:space="0" w:color="auto"/>
            </w:tcBorders>
            <w:shd w:val="clear" w:color="auto" w:fill="FFFFFF" w:themeFill="background1"/>
            <w:vAlign w:val="center"/>
          </w:tcPr>
          <w:p w14:paraId="302F6FF4"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26E6ACC6" w14:textId="77777777" w:rsidR="00942361" w:rsidRDefault="00942361" w:rsidP="002F3EBD">
            <w:pPr>
              <w:spacing w:line="240" w:lineRule="auto"/>
              <w:jc w:val="center"/>
              <w:cnfStyle w:val="000000000000" w:firstRow="0" w:lastRow="0" w:firstColumn="0" w:lastColumn="0" w:oddVBand="0" w:evenVBand="0" w:oddHBand="0" w:evenHBand="0" w:firstRowFirstColumn="0" w:firstRowLastColumn="0" w:lastRowFirstColumn="0" w:lastRowLastColumn="0"/>
            </w:pPr>
          </w:p>
        </w:tc>
      </w:tr>
    </w:tbl>
    <w:p w14:paraId="36DF6E57" w14:textId="77777777" w:rsidR="00942361" w:rsidRDefault="00942361">
      <w:pPr>
        <w:pStyle w:val="TableCaption"/>
      </w:pPr>
    </w:p>
    <w:p w14:paraId="0E615D28" w14:textId="77777777" w:rsidR="00942361" w:rsidRDefault="00942361">
      <w:pPr>
        <w:spacing w:line="240" w:lineRule="auto"/>
        <w:rPr>
          <w:i/>
        </w:rPr>
      </w:pPr>
      <w:r>
        <w:br w:type="page"/>
      </w:r>
    </w:p>
    <w:p w14:paraId="0A4CEB86" w14:textId="0C98BEE8" w:rsidR="00B40F81" w:rsidRDefault="00C7224F">
      <w:pPr>
        <w:pStyle w:val="TableCaption"/>
      </w:pPr>
      <w:r>
        <w:lastRenderedPageBreak/>
        <w:t>TABLE</w:t>
      </w:r>
      <w:r w:rsidR="00CA7264">
        <w:t xml:space="preserve"> 2</w:t>
      </w:r>
      <w:r>
        <w:t>.</w:t>
      </w:r>
      <w:r w:rsidR="00CA7264">
        <w:t xml:space="preserve">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472"/>
        <w:gridCol w:w="1350"/>
      </w:tblGrid>
      <w:tr w:rsidR="00B40F81" w14:paraId="0647B799" w14:textId="77777777" w:rsidTr="000A36E2">
        <w:trPr>
          <w:tblHeader/>
        </w:trPr>
        <w:tc>
          <w:tcPr>
            <w:tcW w:w="0" w:type="auto"/>
            <w:tcBorders>
              <w:top w:val="single" w:sz="4" w:space="0" w:color="auto"/>
              <w:bottom w:val="single" w:sz="4" w:space="0" w:color="auto"/>
            </w:tcBorders>
            <w:vAlign w:val="center"/>
          </w:tcPr>
          <w:p w14:paraId="43F42429" w14:textId="77777777" w:rsidR="00B40F81" w:rsidRDefault="00CA7264" w:rsidP="000A36E2">
            <w:pPr>
              <w:pStyle w:val="Compact"/>
              <w:spacing w:before="0" w:after="0" w:line="264" w:lineRule="auto"/>
              <w:jc w:val="center"/>
            </w:pPr>
            <w:r>
              <w:t>Season</w:t>
            </w:r>
          </w:p>
        </w:tc>
        <w:tc>
          <w:tcPr>
            <w:tcW w:w="0" w:type="auto"/>
            <w:tcBorders>
              <w:top w:val="single" w:sz="4" w:space="0" w:color="auto"/>
              <w:bottom w:val="single" w:sz="4" w:space="0" w:color="auto"/>
            </w:tcBorders>
            <w:vAlign w:val="center"/>
          </w:tcPr>
          <w:p w14:paraId="081C0061" w14:textId="77777777" w:rsidR="00B40F81" w:rsidRDefault="00CA7264" w:rsidP="000A36E2">
            <w:pPr>
              <w:pStyle w:val="Compact"/>
              <w:spacing w:before="0" w:after="0" w:line="264" w:lineRule="auto"/>
              <w:jc w:val="center"/>
            </w:pPr>
            <w:r>
              <w:t>Date Range</w:t>
            </w:r>
          </w:p>
        </w:tc>
        <w:tc>
          <w:tcPr>
            <w:tcW w:w="1472" w:type="dxa"/>
            <w:tcBorders>
              <w:top w:val="single" w:sz="4" w:space="0" w:color="auto"/>
              <w:bottom w:val="single" w:sz="4" w:space="0" w:color="auto"/>
            </w:tcBorders>
            <w:vAlign w:val="center"/>
          </w:tcPr>
          <w:p w14:paraId="354747A8" w14:textId="77777777" w:rsidR="00B40F81" w:rsidRDefault="00CA7264" w:rsidP="000A36E2">
            <w:pPr>
              <w:pStyle w:val="Compact"/>
              <w:spacing w:before="0" w:after="0" w:line="264" w:lineRule="auto"/>
              <w:jc w:val="center"/>
            </w:pPr>
            <w:r>
              <w:t>Percent Fish in Diet</w:t>
            </w:r>
          </w:p>
        </w:tc>
        <w:tc>
          <w:tcPr>
            <w:tcW w:w="1350" w:type="dxa"/>
            <w:tcBorders>
              <w:top w:val="single" w:sz="4" w:space="0" w:color="auto"/>
              <w:bottom w:val="single" w:sz="4" w:space="0" w:color="auto"/>
            </w:tcBorders>
            <w:vAlign w:val="center"/>
          </w:tcPr>
          <w:p w14:paraId="0A94B746" w14:textId="77777777" w:rsidR="00B40F81" w:rsidRDefault="00CA7264" w:rsidP="000A36E2">
            <w:pPr>
              <w:pStyle w:val="Compact"/>
              <w:spacing w:before="0" w:after="0" w:line="264" w:lineRule="auto"/>
              <w:jc w:val="center"/>
            </w:pPr>
            <w:r>
              <w:t>g Fish Consumed</w:t>
            </w:r>
          </w:p>
        </w:tc>
      </w:tr>
      <w:tr w:rsidR="00942361" w14:paraId="2DF54031" w14:textId="77777777" w:rsidTr="000A36E2">
        <w:tc>
          <w:tcPr>
            <w:tcW w:w="0" w:type="auto"/>
            <w:vMerge w:val="restart"/>
            <w:tcBorders>
              <w:top w:val="single" w:sz="4" w:space="0" w:color="auto"/>
            </w:tcBorders>
            <w:vAlign w:val="center"/>
          </w:tcPr>
          <w:p w14:paraId="085B20C8" w14:textId="705AB582" w:rsidR="00942361" w:rsidRDefault="00942361" w:rsidP="000A36E2">
            <w:pPr>
              <w:pStyle w:val="Compact"/>
              <w:spacing w:before="0" w:after="0" w:line="264" w:lineRule="auto"/>
              <w:jc w:val="center"/>
            </w:pPr>
            <w:r>
              <w:t>Fall</w:t>
            </w:r>
          </w:p>
        </w:tc>
        <w:tc>
          <w:tcPr>
            <w:tcW w:w="0" w:type="auto"/>
            <w:vMerge w:val="restart"/>
            <w:tcBorders>
              <w:top w:val="single" w:sz="4" w:space="0" w:color="auto"/>
            </w:tcBorders>
            <w:vAlign w:val="center"/>
          </w:tcPr>
          <w:p w14:paraId="2B0554FA" w14:textId="26DC4012" w:rsidR="00942361" w:rsidRDefault="00942361" w:rsidP="000A36E2">
            <w:pPr>
              <w:pStyle w:val="Compact"/>
              <w:spacing w:before="0" w:after="0" w:line="264" w:lineRule="auto"/>
              <w:jc w:val="center"/>
            </w:pPr>
            <w:r>
              <w:t>Sep 15 - Nov 30</w:t>
            </w:r>
          </w:p>
        </w:tc>
        <w:tc>
          <w:tcPr>
            <w:tcW w:w="1472" w:type="dxa"/>
            <w:tcBorders>
              <w:top w:val="single" w:sz="4" w:space="0" w:color="auto"/>
            </w:tcBorders>
            <w:vAlign w:val="center"/>
          </w:tcPr>
          <w:p w14:paraId="0699B6C4" w14:textId="77777777" w:rsidR="00942361" w:rsidRDefault="00942361" w:rsidP="000A36E2">
            <w:pPr>
              <w:pStyle w:val="Compact"/>
              <w:spacing w:before="0" w:after="0" w:line="264" w:lineRule="auto"/>
              <w:jc w:val="center"/>
            </w:pPr>
            <w:r>
              <w:t>30</w:t>
            </w:r>
          </w:p>
        </w:tc>
        <w:tc>
          <w:tcPr>
            <w:tcW w:w="1350" w:type="dxa"/>
            <w:tcBorders>
              <w:top w:val="single" w:sz="4" w:space="0" w:color="auto"/>
            </w:tcBorders>
            <w:vAlign w:val="center"/>
          </w:tcPr>
          <w:p w14:paraId="52053CAB" w14:textId="77777777" w:rsidR="00942361" w:rsidRDefault="00942361" w:rsidP="000A36E2">
            <w:pPr>
              <w:pStyle w:val="Compact"/>
              <w:spacing w:before="0" w:after="0" w:line="264" w:lineRule="auto"/>
              <w:jc w:val="center"/>
            </w:pPr>
            <w:r>
              <w:t>35.74</w:t>
            </w:r>
          </w:p>
        </w:tc>
      </w:tr>
      <w:tr w:rsidR="00942361" w14:paraId="454041F3" w14:textId="77777777" w:rsidTr="000A36E2">
        <w:tc>
          <w:tcPr>
            <w:tcW w:w="0" w:type="auto"/>
            <w:vMerge/>
            <w:vAlign w:val="center"/>
          </w:tcPr>
          <w:p w14:paraId="34AC6A00" w14:textId="670109C2" w:rsidR="00942361" w:rsidRDefault="00942361" w:rsidP="000A36E2">
            <w:pPr>
              <w:pStyle w:val="Compact"/>
              <w:spacing w:before="0" w:after="0" w:line="264" w:lineRule="auto"/>
              <w:jc w:val="center"/>
            </w:pPr>
          </w:p>
        </w:tc>
        <w:tc>
          <w:tcPr>
            <w:tcW w:w="0" w:type="auto"/>
            <w:vMerge/>
            <w:vAlign w:val="center"/>
          </w:tcPr>
          <w:p w14:paraId="556B3F71" w14:textId="1D514E43" w:rsidR="00942361" w:rsidRDefault="00942361" w:rsidP="000A36E2">
            <w:pPr>
              <w:pStyle w:val="Compact"/>
              <w:spacing w:before="0" w:after="0" w:line="264" w:lineRule="auto"/>
              <w:jc w:val="center"/>
            </w:pPr>
          </w:p>
        </w:tc>
        <w:tc>
          <w:tcPr>
            <w:tcW w:w="1472" w:type="dxa"/>
            <w:vAlign w:val="center"/>
          </w:tcPr>
          <w:p w14:paraId="0E6DA9CC" w14:textId="77777777" w:rsidR="00942361" w:rsidRDefault="00942361" w:rsidP="000A36E2">
            <w:pPr>
              <w:pStyle w:val="Compact"/>
              <w:spacing w:before="0" w:after="0" w:line="264" w:lineRule="auto"/>
              <w:jc w:val="center"/>
            </w:pPr>
            <w:r>
              <w:t>40</w:t>
            </w:r>
          </w:p>
        </w:tc>
        <w:tc>
          <w:tcPr>
            <w:tcW w:w="1350" w:type="dxa"/>
            <w:vAlign w:val="center"/>
          </w:tcPr>
          <w:p w14:paraId="20179F20" w14:textId="77777777" w:rsidR="00942361" w:rsidRDefault="00942361" w:rsidP="000A36E2">
            <w:pPr>
              <w:pStyle w:val="Compact"/>
              <w:spacing w:before="0" w:after="0" w:line="264" w:lineRule="auto"/>
              <w:jc w:val="center"/>
            </w:pPr>
            <w:r>
              <w:t>39.37</w:t>
            </w:r>
          </w:p>
        </w:tc>
      </w:tr>
      <w:tr w:rsidR="00942361" w14:paraId="2143B944" w14:textId="77777777" w:rsidTr="000A36E2">
        <w:tc>
          <w:tcPr>
            <w:tcW w:w="0" w:type="auto"/>
            <w:vMerge/>
            <w:vAlign w:val="center"/>
          </w:tcPr>
          <w:p w14:paraId="4D2EF160" w14:textId="57B02F6C" w:rsidR="00942361" w:rsidRDefault="00942361" w:rsidP="000A36E2">
            <w:pPr>
              <w:pStyle w:val="Compact"/>
              <w:spacing w:before="0" w:after="0" w:line="264" w:lineRule="auto"/>
              <w:jc w:val="center"/>
            </w:pPr>
          </w:p>
        </w:tc>
        <w:tc>
          <w:tcPr>
            <w:tcW w:w="0" w:type="auto"/>
            <w:vMerge/>
            <w:vAlign w:val="center"/>
          </w:tcPr>
          <w:p w14:paraId="1CEED182" w14:textId="16EE9B04" w:rsidR="00942361" w:rsidRDefault="00942361" w:rsidP="000A36E2">
            <w:pPr>
              <w:pStyle w:val="Compact"/>
              <w:spacing w:before="0" w:after="0" w:line="264" w:lineRule="auto"/>
              <w:jc w:val="center"/>
            </w:pPr>
          </w:p>
        </w:tc>
        <w:tc>
          <w:tcPr>
            <w:tcW w:w="1472" w:type="dxa"/>
            <w:vAlign w:val="center"/>
          </w:tcPr>
          <w:p w14:paraId="10E835B5" w14:textId="77777777" w:rsidR="00942361" w:rsidRDefault="00942361" w:rsidP="000A36E2">
            <w:pPr>
              <w:pStyle w:val="Compact"/>
              <w:spacing w:before="0" w:after="0" w:line="264" w:lineRule="auto"/>
              <w:jc w:val="center"/>
            </w:pPr>
            <w:r>
              <w:t>50</w:t>
            </w:r>
          </w:p>
        </w:tc>
        <w:tc>
          <w:tcPr>
            <w:tcW w:w="1350" w:type="dxa"/>
            <w:vAlign w:val="center"/>
          </w:tcPr>
          <w:p w14:paraId="37610D30" w14:textId="77777777" w:rsidR="00942361" w:rsidRDefault="00942361" w:rsidP="000A36E2">
            <w:pPr>
              <w:pStyle w:val="Compact"/>
              <w:spacing w:before="0" w:after="0" w:line="264" w:lineRule="auto"/>
              <w:jc w:val="center"/>
            </w:pPr>
            <w:r>
              <w:t>41.75</w:t>
            </w:r>
          </w:p>
        </w:tc>
      </w:tr>
      <w:tr w:rsidR="00942361" w14:paraId="49C9435C" w14:textId="77777777" w:rsidTr="000A36E2">
        <w:tc>
          <w:tcPr>
            <w:tcW w:w="0" w:type="auto"/>
            <w:vMerge/>
            <w:vAlign w:val="center"/>
          </w:tcPr>
          <w:p w14:paraId="3E271C7A" w14:textId="632BC837" w:rsidR="00942361" w:rsidRDefault="00942361" w:rsidP="000A36E2">
            <w:pPr>
              <w:pStyle w:val="Compact"/>
              <w:spacing w:before="0" w:after="0" w:line="264" w:lineRule="auto"/>
              <w:jc w:val="center"/>
            </w:pPr>
          </w:p>
        </w:tc>
        <w:tc>
          <w:tcPr>
            <w:tcW w:w="0" w:type="auto"/>
            <w:vMerge/>
            <w:vAlign w:val="center"/>
          </w:tcPr>
          <w:p w14:paraId="7D7C45B0" w14:textId="4266CC5B" w:rsidR="00942361" w:rsidRDefault="00942361" w:rsidP="000A36E2">
            <w:pPr>
              <w:pStyle w:val="Compact"/>
              <w:spacing w:before="0" w:after="0" w:line="264" w:lineRule="auto"/>
              <w:jc w:val="center"/>
            </w:pPr>
          </w:p>
        </w:tc>
        <w:tc>
          <w:tcPr>
            <w:tcW w:w="1472" w:type="dxa"/>
            <w:vAlign w:val="center"/>
          </w:tcPr>
          <w:p w14:paraId="238A7B2F" w14:textId="77777777" w:rsidR="00942361" w:rsidRDefault="00942361" w:rsidP="000A36E2">
            <w:pPr>
              <w:pStyle w:val="Compact"/>
              <w:spacing w:before="0" w:after="0" w:line="264" w:lineRule="auto"/>
              <w:jc w:val="center"/>
            </w:pPr>
            <w:r>
              <w:t>60</w:t>
            </w:r>
          </w:p>
        </w:tc>
        <w:tc>
          <w:tcPr>
            <w:tcW w:w="1350" w:type="dxa"/>
            <w:vAlign w:val="center"/>
          </w:tcPr>
          <w:p w14:paraId="12A47280" w14:textId="77777777" w:rsidR="00942361" w:rsidRDefault="00942361" w:rsidP="000A36E2">
            <w:pPr>
              <w:pStyle w:val="Compact"/>
              <w:spacing w:before="0" w:after="0" w:line="264" w:lineRule="auto"/>
              <w:jc w:val="center"/>
            </w:pPr>
            <w:r>
              <w:t>43.55</w:t>
            </w:r>
          </w:p>
        </w:tc>
      </w:tr>
      <w:tr w:rsidR="00942361" w14:paraId="187ED536" w14:textId="77777777" w:rsidTr="000A36E2">
        <w:tc>
          <w:tcPr>
            <w:tcW w:w="0" w:type="auto"/>
            <w:vMerge/>
            <w:vAlign w:val="center"/>
          </w:tcPr>
          <w:p w14:paraId="4929F65D" w14:textId="2ACB5948" w:rsidR="00942361" w:rsidRDefault="00942361" w:rsidP="000A36E2">
            <w:pPr>
              <w:pStyle w:val="Compact"/>
              <w:spacing w:before="0" w:after="0" w:line="264" w:lineRule="auto"/>
              <w:jc w:val="center"/>
            </w:pPr>
          </w:p>
        </w:tc>
        <w:tc>
          <w:tcPr>
            <w:tcW w:w="0" w:type="auto"/>
            <w:vMerge/>
            <w:vAlign w:val="center"/>
          </w:tcPr>
          <w:p w14:paraId="69DD34BC" w14:textId="50CE0382" w:rsidR="00942361" w:rsidRDefault="00942361" w:rsidP="000A36E2">
            <w:pPr>
              <w:pStyle w:val="Compact"/>
              <w:spacing w:before="0" w:after="0" w:line="264" w:lineRule="auto"/>
              <w:jc w:val="center"/>
            </w:pPr>
          </w:p>
        </w:tc>
        <w:tc>
          <w:tcPr>
            <w:tcW w:w="1472" w:type="dxa"/>
            <w:vAlign w:val="center"/>
          </w:tcPr>
          <w:p w14:paraId="663D002A" w14:textId="77777777" w:rsidR="00942361" w:rsidRDefault="00942361" w:rsidP="000A36E2">
            <w:pPr>
              <w:pStyle w:val="Compact"/>
              <w:spacing w:before="0" w:after="0" w:line="264" w:lineRule="auto"/>
              <w:jc w:val="center"/>
            </w:pPr>
            <w:r>
              <w:t>70</w:t>
            </w:r>
          </w:p>
        </w:tc>
        <w:tc>
          <w:tcPr>
            <w:tcW w:w="1350" w:type="dxa"/>
            <w:vAlign w:val="center"/>
          </w:tcPr>
          <w:p w14:paraId="4D3C2C5D" w14:textId="77777777" w:rsidR="00942361" w:rsidRDefault="00942361" w:rsidP="000A36E2">
            <w:pPr>
              <w:pStyle w:val="Compact"/>
              <w:spacing w:before="0" w:after="0" w:line="264" w:lineRule="auto"/>
              <w:jc w:val="center"/>
            </w:pPr>
            <w:r>
              <w:t>44.88</w:t>
            </w:r>
          </w:p>
        </w:tc>
      </w:tr>
      <w:tr w:rsidR="00942361" w14:paraId="69B0C6BE" w14:textId="77777777" w:rsidTr="000A36E2">
        <w:tc>
          <w:tcPr>
            <w:tcW w:w="0" w:type="auto"/>
            <w:vMerge/>
            <w:vAlign w:val="center"/>
          </w:tcPr>
          <w:p w14:paraId="54C641E5" w14:textId="73AFCD14" w:rsidR="00942361" w:rsidRDefault="00942361" w:rsidP="000A36E2">
            <w:pPr>
              <w:pStyle w:val="Compact"/>
              <w:spacing w:before="0" w:after="0" w:line="264" w:lineRule="auto"/>
              <w:jc w:val="center"/>
            </w:pPr>
          </w:p>
        </w:tc>
        <w:tc>
          <w:tcPr>
            <w:tcW w:w="0" w:type="auto"/>
            <w:vMerge/>
            <w:vAlign w:val="center"/>
          </w:tcPr>
          <w:p w14:paraId="54DAE0C1" w14:textId="5A367F4D" w:rsidR="00942361" w:rsidRDefault="00942361" w:rsidP="000A36E2">
            <w:pPr>
              <w:pStyle w:val="Compact"/>
              <w:spacing w:before="0" w:after="0" w:line="264" w:lineRule="auto"/>
              <w:jc w:val="center"/>
            </w:pPr>
          </w:p>
        </w:tc>
        <w:tc>
          <w:tcPr>
            <w:tcW w:w="1472" w:type="dxa"/>
            <w:vAlign w:val="center"/>
          </w:tcPr>
          <w:p w14:paraId="6BED41E6" w14:textId="77777777" w:rsidR="00942361" w:rsidRDefault="00942361" w:rsidP="000A36E2">
            <w:pPr>
              <w:pStyle w:val="Compact"/>
              <w:spacing w:before="0" w:after="0" w:line="264" w:lineRule="auto"/>
              <w:jc w:val="center"/>
            </w:pPr>
            <w:r>
              <w:t>80</w:t>
            </w:r>
          </w:p>
        </w:tc>
        <w:tc>
          <w:tcPr>
            <w:tcW w:w="1350" w:type="dxa"/>
            <w:vAlign w:val="center"/>
          </w:tcPr>
          <w:p w14:paraId="08060314" w14:textId="77777777" w:rsidR="00942361" w:rsidRDefault="00942361" w:rsidP="000A36E2">
            <w:pPr>
              <w:pStyle w:val="Compact"/>
              <w:spacing w:before="0" w:after="0" w:line="264" w:lineRule="auto"/>
              <w:jc w:val="center"/>
            </w:pPr>
            <w:r>
              <w:t>45.98</w:t>
            </w:r>
          </w:p>
        </w:tc>
      </w:tr>
      <w:tr w:rsidR="00942361" w14:paraId="1757CDA6" w14:textId="77777777" w:rsidTr="000A36E2">
        <w:tc>
          <w:tcPr>
            <w:tcW w:w="0" w:type="auto"/>
            <w:vMerge/>
            <w:vAlign w:val="center"/>
          </w:tcPr>
          <w:p w14:paraId="3DC554DE" w14:textId="108CFA5D" w:rsidR="00942361" w:rsidRDefault="00942361" w:rsidP="000A36E2">
            <w:pPr>
              <w:pStyle w:val="Compact"/>
              <w:spacing w:before="0" w:after="0" w:line="264" w:lineRule="auto"/>
              <w:jc w:val="center"/>
            </w:pPr>
          </w:p>
        </w:tc>
        <w:tc>
          <w:tcPr>
            <w:tcW w:w="0" w:type="auto"/>
            <w:vMerge/>
            <w:vAlign w:val="center"/>
          </w:tcPr>
          <w:p w14:paraId="5655AD6D" w14:textId="18716B85" w:rsidR="00942361" w:rsidRDefault="00942361" w:rsidP="000A36E2">
            <w:pPr>
              <w:pStyle w:val="Compact"/>
              <w:spacing w:before="0" w:after="0" w:line="264" w:lineRule="auto"/>
              <w:jc w:val="center"/>
            </w:pPr>
          </w:p>
        </w:tc>
        <w:tc>
          <w:tcPr>
            <w:tcW w:w="1472" w:type="dxa"/>
            <w:vAlign w:val="center"/>
          </w:tcPr>
          <w:p w14:paraId="2FEB1434" w14:textId="77777777" w:rsidR="00942361" w:rsidRDefault="00942361" w:rsidP="000A36E2">
            <w:pPr>
              <w:pStyle w:val="Compact"/>
              <w:spacing w:before="0" w:after="0" w:line="264" w:lineRule="auto"/>
              <w:jc w:val="center"/>
            </w:pPr>
            <w:r>
              <w:t>90</w:t>
            </w:r>
          </w:p>
        </w:tc>
        <w:tc>
          <w:tcPr>
            <w:tcW w:w="1350" w:type="dxa"/>
            <w:vAlign w:val="center"/>
          </w:tcPr>
          <w:p w14:paraId="6872CE0E" w14:textId="77777777" w:rsidR="00942361" w:rsidRDefault="00942361" w:rsidP="000A36E2">
            <w:pPr>
              <w:pStyle w:val="Compact"/>
              <w:spacing w:before="0" w:after="0" w:line="264" w:lineRule="auto"/>
              <w:jc w:val="center"/>
            </w:pPr>
            <w:r>
              <w:t>46.91</w:t>
            </w:r>
          </w:p>
        </w:tc>
      </w:tr>
      <w:tr w:rsidR="000F094D" w14:paraId="54E44DF4" w14:textId="77777777" w:rsidTr="000A36E2">
        <w:tc>
          <w:tcPr>
            <w:tcW w:w="0" w:type="auto"/>
            <w:vAlign w:val="center"/>
          </w:tcPr>
          <w:p w14:paraId="5A401810" w14:textId="77777777" w:rsidR="000F094D" w:rsidRDefault="000F094D" w:rsidP="000A36E2">
            <w:pPr>
              <w:pStyle w:val="Compact"/>
              <w:spacing w:before="0" w:after="0" w:line="264" w:lineRule="auto"/>
              <w:jc w:val="center"/>
            </w:pPr>
          </w:p>
        </w:tc>
        <w:tc>
          <w:tcPr>
            <w:tcW w:w="0" w:type="auto"/>
            <w:vAlign w:val="center"/>
          </w:tcPr>
          <w:p w14:paraId="67E804FD" w14:textId="77777777" w:rsidR="000F094D" w:rsidRDefault="000F094D" w:rsidP="000A36E2">
            <w:pPr>
              <w:pStyle w:val="Compact"/>
              <w:spacing w:before="0" w:after="0" w:line="264" w:lineRule="auto"/>
              <w:jc w:val="center"/>
            </w:pPr>
          </w:p>
        </w:tc>
        <w:tc>
          <w:tcPr>
            <w:tcW w:w="1472" w:type="dxa"/>
            <w:vAlign w:val="center"/>
          </w:tcPr>
          <w:p w14:paraId="4B143C52" w14:textId="77777777" w:rsidR="000F094D" w:rsidRDefault="000F094D" w:rsidP="000A36E2">
            <w:pPr>
              <w:pStyle w:val="Compact"/>
              <w:spacing w:before="0" w:after="0" w:line="264" w:lineRule="auto"/>
              <w:jc w:val="center"/>
            </w:pPr>
          </w:p>
        </w:tc>
        <w:tc>
          <w:tcPr>
            <w:tcW w:w="1350" w:type="dxa"/>
            <w:vAlign w:val="center"/>
          </w:tcPr>
          <w:p w14:paraId="625AEA88" w14:textId="77777777" w:rsidR="000F094D" w:rsidRDefault="000F094D" w:rsidP="000A36E2">
            <w:pPr>
              <w:pStyle w:val="Compact"/>
              <w:spacing w:before="0" w:after="0" w:line="264" w:lineRule="auto"/>
              <w:jc w:val="center"/>
            </w:pPr>
          </w:p>
        </w:tc>
      </w:tr>
      <w:tr w:rsidR="00942361" w14:paraId="006F7B86" w14:textId="77777777" w:rsidTr="000A36E2">
        <w:tc>
          <w:tcPr>
            <w:tcW w:w="0" w:type="auto"/>
            <w:vMerge w:val="restart"/>
            <w:vAlign w:val="center"/>
          </w:tcPr>
          <w:p w14:paraId="1E7915A0" w14:textId="48460161" w:rsidR="00942361" w:rsidRDefault="00942361" w:rsidP="000A36E2">
            <w:pPr>
              <w:pStyle w:val="Compact"/>
              <w:spacing w:before="0" w:after="0" w:line="264" w:lineRule="auto"/>
              <w:jc w:val="center"/>
            </w:pPr>
            <w:r>
              <w:t>Spring</w:t>
            </w:r>
          </w:p>
        </w:tc>
        <w:tc>
          <w:tcPr>
            <w:tcW w:w="0" w:type="auto"/>
            <w:vMerge w:val="restart"/>
            <w:vAlign w:val="center"/>
          </w:tcPr>
          <w:p w14:paraId="263F5712" w14:textId="7D907478" w:rsidR="00942361" w:rsidRDefault="00942361" w:rsidP="000A36E2">
            <w:pPr>
              <w:pStyle w:val="Compact"/>
              <w:spacing w:before="0" w:after="0" w:line="264" w:lineRule="auto"/>
              <w:jc w:val="center"/>
            </w:pPr>
            <w:r>
              <w:t>Mar 1 - May 31</w:t>
            </w:r>
          </w:p>
        </w:tc>
        <w:tc>
          <w:tcPr>
            <w:tcW w:w="1472" w:type="dxa"/>
            <w:vAlign w:val="center"/>
          </w:tcPr>
          <w:p w14:paraId="66FC0D00" w14:textId="77777777" w:rsidR="00942361" w:rsidRDefault="00942361" w:rsidP="000A36E2">
            <w:pPr>
              <w:pStyle w:val="Compact"/>
              <w:spacing w:before="0" w:after="0" w:line="264" w:lineRule="auto"/>
              <w:jc w:val="center"/>
            </w:pPr>
            <w:r>
              <w:t>30</w:t>
            </w:r>
          </w:p>
        </w:tc>
        <w:tc>
          <w:tcPr>
            <w:tcW w:w="1350" w:type="dxa"/>
            <w:vAlign w:val="center"/>
          </w:tcPr>
          <w:p w14:paraId="6E8BB36E" w14:textId="77777777" w:rsidR="00942361" w:rsidRDefault="00942361" w:rsidP="000A36E2">
            <w:pPr>
              <w:pStyle w:val="Compact"/>
              <w:spacing w:before="0" w:after="0" w:line="264" w:lineRule="auto"/>
              <w:jc w:val="center"/>
            </w:pPr>
            <w:r>
              <w:t>34.01</w:t>
            </w:r>
          </w:p>
        </w:tc>
      </w:tr>
      <w:tr w:rsidR="00942361" w14:paraId="0F6EB313" w14:textId="77777777" w:rsidTr="000A36E2">
        <w:tc>
          <w:tcPr>
            <w:tcW w:w="0" w:type="auto"/>
            <w:vMerge/>
            <w:vAlign w:val="center"/>
          </w:tcPr>
          <w:p w14:paraId="4FE28132" w14:textId="54C074E9" w:rsidR="00942361" w:rsidRDefault="00942361" w:rsidP="000A36E2">
            <w:pPr>
              <w:pStyle w:val="Compact"/>
              <w:spacing w:before="0" w:after="0" w:line="264" w:lineRule="auto"/>
              <w:jc w:val="center"/>
            </w:pPr>
          </w:p>
        </w:tc>
        <w:tc>
          <w:tcPr>
            <w:tcW w:w="0" w:type="auto"/>
            <w:vMerge/>
            <w:vAlign w:val="center"/>
          </w:tcPr>
          <w:p w14:paraId="3F8339E0" w14:textId="41C6B134" w:rsidR="00942361" w:rsidRDefault="00942361" w:rsidP="000A36E2">
            <w:pPr>
              <w:pStyle w:val="Compact"/>
              <w:spacing w:before="0" w:after="0" w:line="264" w:lineRule="auto"/>
              <w:jc w:val="center"/>
            </w:pPr>
          </w:p>
        </w:tc>
        <w:tc>
          <w:tcPr>
            <w:tcW w:w="1472" w:type="dxa"/>
            <w:vAlign w:val="center"/>
          </w:tcPr>
          <w:p w14:paraId="28501C18" w14:textId="77777777" w:rsidR="00942361" w:rsidRDefault="00942361" w:rsidP="000A36E2">
            <w:pPr>
              <w:pStyle w:val="Compact"/>
              <w:spacing w:before="0" w:after="0" w:line="264" w:lineRule="auto"/>
              <w:jc w:val="center"/>
            </w:pPr>
            <w:r>
              <w:t>40</w:t>
            </w:r>
          </w:p>
        </w:tc>
        <w:tc>
          <w:tcPr>
            <w:tcW w:w="1350" w:type="dxa"/>
            <w:vAlign w:val="center"/>
          </w:tcPr>
          <w:p w14:paraId="245296C4" w14:textId="77777777" w:rsidR="00942361" w:rsidRDefault="00942361" w:rsidP="000A36E2">
            <w:pPr>
              <w:pStyle w:val="Compact"/>
              <w:spacing w:before="0" w:after="0" w:line="264" w:lineRule="auto"/>
              <w:jc w:val="center"/>
            </w:pPr>
            <w:r>
              <w:t>39.54</w:t>
            </w:r>
          </w:p>
        </w:tc>
      </w:tr>
      <w:tr w:rsidR="00942361" w14:paraId="2C95A426" w14:textId="77777777" w:rsidTr="000A36E2">
        <w:tc>
          <w:tcPr>
            <w:tcW w:w="0" w:type="auto"/>
            <w:vMerge/>
            <w:vAlign w:val="center"/>
          </w:tcPr>
          <w:p w14:paraId="24D89986" w14:textId="61A1E634" w:rsidR="00942361" w:rsidRDefault="00942361" w:rsidP="000A36E2">
            <w:pPr>
              <w:pStyle w:val="Compact"/>
              <w:spacing w:before="0" w:after="0" w:line="264" w:lineRule="auto"/>
              <w:jc w:val="center"/>
            </w:pPr>
          </w:p>
        </w:tc>
        <w:tc>
          <w:tcPr>
            <w:tcW w:w="0" w:type="auto"/>
            <w:vMerge/>
            <w:vAlign w:val="center"/>
          </w:tcPr>
          <w:p w14:paraId="2486774F" w14:textId="2D037B41" w:rsidR="00942361" w:rsidRDefault="00942361" w:rsidP="000A36E2">
            <w:pPr>
              <w:pStyle w:val="Compact"/>
              <w:spacing w:before="0" w:after="0" w:line="264" w:lineRule="auto"/>
              <w:jc w:val="center"/>
            </w:pPr>
          </w:p>
        </w:tc>
        <w:tc>
          <w:tcPr>
            <w:tcW w:w="1472" w:type="dxa"/>
            <w:vAlign w:val="center"/>
          </w:tcPr>
          <w:p w14:paraId="559BCC11" w14:textId="77777777" w:rsidR="00942361" w:rsidRDefault="00942361" w:rsidP="000A36E2">
            <w:pPr>
              <w:pStyle w:val="Compact"/>
              <w:spacing w:before="0" w:after="0" w:line="264" w:lineRule="auto"/>
              <w:jc w:val="center"/>
            </w:pPr>
            <w:r>
              <w:t>50</w:t>
            </w:r>
          </w:p>
        </w:tc>
        <w:tc>
          <w:tcPr>
            <w:tcW w:w="1350" w:type="dxa"/>
            <w:vAlign w:val="center"/>
          </w:tcPr>
          <w:p w14:paraId="54F0951F" w14:textId="77777777" w:rsidR="00942361" w:rsidRDefault="00942361" w:rsidP="000A36E2">
            <w:pPr>
              <w:pStyle w:val="Compact"/>
              <w:spacing w:before="0" w:after="0" w:line="264" w:lineRule="auto"/>
              <w:jc w:val="center"/>
            </w:pPr>
            <w:r>
              <w:t>39.54</w:t>
            </w:r>
          </w:p>
        </w:tc>
      </w:tr>
      <w:tr w:rsidR="00942361" w14:paraId="36B26219" w14:textId="77777777" w:rsidTr="000A36E2">
        <w:tc>
          <w:tcPr>
            <w:tcW w:w="0" w:type="auto"/>
            <w:vMerge/>
            <w:vAlign w:val="center"/>
          </w:tcPr>
          <w:p w14:paraId="03C71023" w14:textId="56CCE751" w:rsidR="00942361" w:rsidRDefault="00942361" w:rsidP="000A36E2">
            <w:pPr>
              <w:pStyle w:val="Compact"/>
              <w:spacing w:before="0" w:after="0" w:line="264" w:lineRule="auto"/>
              <w:jc w:val="center"/>
            </w:pPr>
          </w:p>
        </w:tc>
        <w:tc>
          <w:tcPr>
            <w:tcW w:w="0" w:type="auto"/>
            <w:vMerge/>
            <w:vAlign w:val="center"/>
          </w:tcPr>
          <w:p w14:paraId="06C2C963" w14:textId="01CD2C17" w:rsidR="00942361" w:rsidRDefault="00942361" w:rsidP="000A36E2">
            <w:pPr>
              <w:pStyle w:val="Compact"/>
              <w:spacing w:before="0" w:after="0" w:line="264" w:lineRule="auto"/>
              <w:jc w:val="center"/>
            </w:pPr>
          </w:p>
        </w:tc>
        <w:tc>
          <w:tcPr>
            <w:tcW w:w="1472" w:type="dxa"/>
            <w:vAlign w:val="center"/>
          </w:tcPr>
          <w:p w14:paraId="79B4970E" w14:textId="77777777" w:rsidR="00942361" w:rsidRDefault="00942361" w:rsidP="000A36E2">
            <w:pPr>
              <w:pStyle w:val="Compact"/>
              <w:spacing w:before="0" w:after="0" w:line="264" w:lineRule="auto"/>
              <w:jc w:val="center"/>
            </w:pPr>
            <w:r>
              <w:t>60</w:t>
            </w:r>
          </w:p>
        </w:tc>
        <w:tc>
          <w:tcPr>
            <w:tcW w:w="1350" w:type="dxa"/>
            <w:vAlign w:val="center"/>
          </w:tcPr>
          <w:p w14:paraId="2013E7DA" w14:textId="77777777" w:rsidR="00942361" w:rsidRDefault="00942361" w:rsidP="000A36E2">
            <w:pPr>
              <w:pStyle w:val="Compact"/>
              <w:spacing w:before="0" w:after="0" w:line="264" w:lineRule="auto"/>
              <w:jc w:val="center"/>
            </w:pPr>
            <w:r>
              <w:t>42.51</w:t>
            </w:r>
          </w:p>
        </w:tc>
      </w:tr>
      <w:tr w:rsidR="00942361" w14:paraId="4DEC16A1" w14:textId="77777777" w:rsidTr="000A36E2">
        <w:tc>
          <w:tcPr>
            <w:tcW w:w="0" w:type="auto"/>
            <w:vMerge/>
            <w:vAlign w:val="center"/>
          </w:tcPr>
          <w:p w14:paraId="746A32FE" w14:textId="325264E0" w:rsidR="00942361" w:rsidRDefault="00942361" w:rsidP="000A36E2">
            <w:pPr>
              <w:pStyle w:val="Compact"/>
              <w:spacing w:before="0" w:after="0" w:line="264" w:lineRule="auto"/>
              <w:jc w:val="center"/>
            </w:pPr>
          </w:p>
        </w:tc>
        <w:tc>
          <w:tcPr>
            <w:tcW w:w="0" w:type="auto"/>
            <w:vMerge/>
            <w:vAlign w:val="center"/>
          </w:tcPr>
          <w:p w14:paraId="29333947" w14:textId="2978AA0B" w:rsidR="00942361" w:rsidRDefault="00942361" w:rsidP="000A36E2">
            <w:pPr>
              <w:pStyle w:val="Compact"/>
              <w:spacing w:before="0" w:after="0" w:line="264" w:lineRule="auto"/>
              <w:jc w:val="center"/>
            </w:pPr>
          </w:p>
        </w:tc>
        <w:tc>
          <w:tcPr>
            <w:tcW w:w="1472" w:type="dxa"/>
            <w:vAlign w:val="center"/>
          </w:tcPr>
          <w:p w14:paraId="2D292E23" w14:textId="77777777" w:rsidR="00942361" w:rsidRDefault="00942361" w:rsidP="000A36E2">
            <w:pPr>
              <w:pStyle w:val="Compact"/>
              <w:spacing w:before="0" w:after="0" w:line="264" w:lineRule="auto"/>
              <w:jc w:val="center"/>
            </w:pPr>
            <w:r>
              <w:t>70</w:t>
            </w:r>
          </w:p>
        </w:tc>
        <w:tc>
          <w:tcPr>
            <w:tcW w:w="1350" w:type="dxa"/>
            <w:vAlign w:val="center"/>
          </w:tcPr>
          <w:p w14:paraId="1FDBCA49" w14:textId="77777777" w:rsidR="00942361" w:rsidRDefault="00942361" w:rsidP="000A36E2">
            <w:pPr>
              <w:pStyle w:val="Compact"/>
              <w:spacing w:before="0" w:after="0" w:line="264" w:lineRule="auto"/>
              <w:jc w:val="center"/>
            </w:pPr>
            <w:r>
              <w:t>42.51</w:t>
            </w:r>
          </w:p>
        </w:tc>
      </w:tr>
      <w:tr w:rsidR="00942361" w14:paraId="5E8B3533" w14:textId="77777777" w:rsidTr="000A36E2">
        <w:tc>
          <w:tcPr>
            <w:tcW w:w="0" w:type="auto"/>
            <w:vMerge/>
            <w:vAlign w:val="center"/>
          </w:tcPr>
          <w:p w14:paraId="752CFC98" w14:textId="55BAD394" w:rsidR="00942361" w:rsidRDefault="00942361" w:rsidP="000A36E2">
            <w:pPr>
              <w:pStyle w:val="Compact"/>
              <w:spacing w:before="0" w:after="0" w:line="264" w:lineRule="auto"/>
              <w:jc w:val="center"/>
            </w:pPr>
          </w:p>
        </w:tc>
        <w:tc>
          <w:tcPr>
            <w:tcW w:w="0" w:type="auto"/>
            <w:vMerge/>
            <w:vAlign w:val="center"/>
          </w:tcPr>
          <w:p w14:paraId="59E358D1" w14:textId="0291FEF8" w:rsidR="00942361" w:rsidRDefault="00942361" w:rsidP="000A36E2">
            <w:pPr>
              <w:pStyle w:val="Compact"/>
              <w:spacing w:before="0" w:after="0" w:line="264" w:lineRule="auto"/>
              <w:jc w:val="center"/>
            </w:pPr>
          </w:p>
        </w:tc>
        <w:tc>
          <w:tcPr>
            <w:tcW w:w="1472" w:type="dxa"/>
            <w:vAlign w:val="center"/>
          </w:tcPr>
          <w:p w14:paraId="01D31EAC" w14:textId="77777777" w:rsidR="00942361" w:rsidRDefault="00942361" w:rsidP="000A36E2">
            <w:pPr>
              <w:pStyle w:val="Compact"/>
              <w:spacing w:before="0" w:after="0" w:line="264" w:lineRule="auto"/>
              <w:jc w:val="center"/>
            </w:pPr>
            <w:r>
              <w:t>80</w:t>
            </w:r>
          </w:p>
        </w:tc>
        <w:tc>
          <w:tcPr>
            <w:tcW w:w="1350" w:type="dxa"/>
            <w:vAlign w:val="center"/>
          </w:tcPr>
          <w:p w14:paraId="1B4C70AC" w14:textId="77777777" w:rsidR="00942361" w:rsidRDefault="00942361" w:rsidP="000A36E2">
            <w:pPr>
              <w:pStyle w:val="Compact"/>
              <w:spacing w:before="0" w:after="0" w:line="264" w:lineRule="auto"/>
              <w:jc w:val="center"/>
            </w:pPr>
            <w:r>
              <w:t>43.52</w:t>
            </w:r>
          </w:p>
        </w:tc>
      </w:tr>
      <w:tr w:rsidR="00942361" w14:paraId="7103EFFE" w14:textId="77777777" w:rsidTr="000A36E2">
        <w:tc>
          <w:tcPr>
            <w:tcW w:w="0" w:type="auto"/>
            <w:vMerge/>
            <w:tcBorders>
              <w:bottom w:val="single" w:sz="4" w:space="0" w:color="auto"/>
            </w:tcBorders>
            <w:vAlign w:val="center"/>
          </w:tcPr>
          <w:p w14:paraId="1D84D7A5" w14:textId="62D9F611" w:rsidR="00942361" w:rsidRDefault="00942361" w:rsidP="000A36E2">
            <w:pPr>
              <w:pStyle w:val="Compact"/>
              <w:spacing w:before="0" w:after="0" w:line="264" w:lineRule="auto"/>
              <w:jc w:val="center"/>
            </w:pPr>
          </w:p>
        </w:tc>
        <w:tc>
          <w:tcPr>
            <w:tcW w:w="0" w:type="auto"/>
            <w:vMerge/>
            <w:tcBorders>
              <w:bottom w:val="single" w:sz="4" w:space="0" w:color="auto"/>
            </w:tcBorders>
            <w:vAlign w:val="center"/>
          </w:tcPr>
          <w:p w14:paraId="0C51A0EC" w14:textId="01018E07" w:rsidR="00942361" w:rsidRDefault="00942361" w:rsidP="000A36E2">
            <w:pPr>
              <w:pStyle w:val="Compact"/>
              <w:spacing w:before="0" w:after="0" w:line="264" w:lineRule="auto"/>
              <w:jc w:val="center"/>
            </w:pPr>
          </w:p>
        </w:tc>
        <w:tc>
          <w:tcPr>
            <w:tcW w:w="1472" w:type="dxa"/>
            <w:tcBorders>
              <w:bottom w:val="single" w:sz="4" w:space="0" w:color="auto"/>
            </w:tcBorders>
            <w:vAlign w:val="center"/>
          </w:tcPr>
          <w:p w14:paraId="32973841" w14:textId="77777777" w:rsidR="00942361" w:rsidRDefault="00942361" w:rsidP="000A36E2">
            <w:pPr>
              <w:pStyle w:val="Compact"/>
              <w:spacing w:before="0" w:after="0" w:line="264" w:lineRule="auto"/>
              <w:jc w:val="center"/>
            </w:pPr>
            <w:r>
              <w:t>90</w:t>
            </w:r>
          </w:p>
        </w:tc>
        <w:tc>
          <w:tcPr>
            <w:tcW w:w="1350" w:type="dxa"/>
            <w:tcBorders>
              <w:bottom w:val="single" w:sz="4" w:space="0" w:color="auto"/>
            </w:tcBorders>
            <w:vAlign w:val="center"/>
          </w:tcPr>
          <w:p w14:paraId="6E55EA21" w14:textId="77777777" w:rsidR="00942361" w:rsidRDefault="00942361" w:rsidP="000A36E2">
            <w:pPr>
              <w:pStyle w:val="Compact"/>
              <w:spacing w:before="0" w:after="0" w:line="264" w:lineRule="auto"/>
              <w:jc w:val="center"/>
            </w:pPr>
            <w:r>
              <w:t>44.33</w:t>
            </w:r>
          </w:p>
        </w:tc>
      </w:tr>
    </w:tbl>
    <w:p w14:paraId="3F1AD4CA" w14:textId="77777777" w:rsidR="00B40F81" w:rsidRDefault="00CA7264">
      <w:r>
        <w:br w:type="page"/>
      </w:r>
    </w:p>
    <w:p w14:paraId="03622A6B" w14:textId="51CD266D" w:rsidR="00B40F81" w:rsidRDefault="00C7224F">
      <w:pPr>
        <w:pStyle w:val="TableCaption"/>
      </w:pPr>
      <w:r>
        <w:lastRenderedPageBreak/>
        <w:t>TABLE 3.</w:t>
      </w:r>
      <w:r w:rsidR="00CA7264">
        <w:t xml:space="preserve"> Point estimates, standard errors, and 95% confidence intervals for each of the mark-recapture estimators and for the fall sampling efforts. Standard errors are not available for the multiple census estimators.</w:t>
      </w:r>
    </w:p>
    <w:tbl>
      <w:tblPr>
        <w:tblStyle w:val="Table"/>
        <w:tblW w:w="0" w:type="auto"/>
        <w:tblLook w:val="0020" w:firstRow="1" w:lastRow="0" w:firstColumn="0" w:lastColumn="0" w:noHBand="0" w:noVBand="0"/>
      </w:tblPr>
      <w:tblGrid>
        <w:gridCol w:w="1130"/>
        <w:gridCol w:w="2862"/>
        <w:gridCol w:w="1066"/>
        <w:gridCol w:w="990"/>
        <w:gridCol w:w="1736"/>
      </w:tblGrid>
      <w:tr w:rsidR="00B40F81" w14:paraId="1D6BEEA5" w14:textId="77777777" w:rsidTr="000A36E2">
        <w:trPr>
          <w:tblHeader/>
        </w:trPr>
        <w:tc>
          <w:tcPr>
            <w:tcW w:w="0" w:type="auto"/>
            <w:tcBorders>
              <w:top w:val="single" w:sz="4" w:space="0" w:color="auto"/>
              <w:bottom w:val="single" w:sz="4" w:space="0" w:color="auto"/>
            </w:tcBorders>
            <w:vAlign w:val="center"/>
          </w:tcPr>
          <w:p w14:paraId="680206F6" w14:textId="77777777" w:rsidR="00B40F81" w:rsidRDefault="00CA7264" w:rsidP="000A36E2">
            <w:pPr>
              <w:pStyle w:val="Compact"/>
              <w:spacing w:before="0" w:after="0" w:line="264" w:lineRule="auto"/>
              <w:jc w:val="center"/>
            </w:pPr>
            <w:r>
              <w:t>Survey</w:t>
            </w:r>
          </w:p>
        </w:tc>
        <w:tc>
          <w:tcPr>
            <w:tcW w:w="0" w:type="auto"/>
            <w:tcBorders>
              <w:top w:val="single" w:sz="4" w:space="0" w:color="auto"/>
              <w:bottom w:val="single" w:sz="4" w:space="0" w:color="auto"/>
            </w:tcBorders>
            <w:vAlign w:val="center"/>
          </w:tcPr>
          <w:p w14:paraId="30D1FF22" w14:textId="77777777" w:rsidR="00B40F81" w:rsidRDefault="00CA7264" w:rsidP="000A36E2">
            <w:pPr>
              <w:pStyle w:val="Compact"/>
              <w:spacing w:before="0" w:after="0" w:line="264" w:lineRule="auto"/>
              <w:jc w:val="center"/>
            </w:pPr>
            <w:r>
              <w:t>Estimator</w:t>
            </w:r>
          </w:p>
        </w:tc>
        <w:tc>
          <w:tcPr>
            <w:tcW w:w="1066" w:type="dxa"/>
            <w:tcBorders>
              <w:top w:val="single" w:sz="4" w:space="0" w:color="auto"/>
              <w:bottom w:val="single" w:sz="4" w:space="0" w:color="auto"/>
            </w:tcBorders>
            <w:vAlign w:val="center"/>
          </w:tcPr>
          <w:p w14:paraId="0335872F" w14:textId="77777777" w:rsidR="00B40F81" w:rsidRDefault="00CA7264" w:rsidP="000A36E2">
            <w:pPr>
              <w:pStyle w:val="Compact"/>
              <w:spacing w:before="0" w:after="0" w:line="264" w:lineRule="auto"/>
              <w:jc w:val="center"/>
            </w:pPr>
            <w:r>
              <w:t>N</w:t>
            </w:r>
          </w:p>
        </w:tc>
        <w:tc>
          <w:tcPr>
            <w:tcW w:w="990" w:type="dxa"/>
            <w:tcBorders>
              <w:top w:val="single" w:sz="4" w:space="0" w:color="auto"/>
              <w:bottom w:val="single" w:sz="4" w:space="0" w:color="auto"/>
            </w:tcBorders>
            <w:vAlign w:val="center"/>
          </w:tcPr>
          <w:p w14:paraId="378FC2A8" w14:textId="77777777" w:rsidR="00B40F81" w:rsidRDefault="00CA7264" w:rsidP="000A36E2">
            <w:pPr>
              <w:pStyle w:val="Compact"/>
              <w:spacing w:before="0" w:after="0" w:line="264" w:lineRule="auto"/>
              <w:jc w:val="center"/>
            </w:pPr>
            <w:r>
              <w:t>SE</w:t>
            </w:r>
          </w:p>
        </w:tc>
        <w:tc>
          <w:tcPr>
            <w:tcW w:w="0" w:type="auto"/>
            <w:tcBorders>
              <w:top w:val="single" w:sz="4" w:space="0" w:color="auto"/>
              <w:bottom w:val="single" w:sz="4" w:space="0" w:color="auto"/>
            </w:tcBorders>
            <w:vAlign w:val="center"/>
          </w:tcPr>
          <w:p w14:paraId="212B83CC" w14:textId="77777777" w:rsidR="00B40F81" w:rsidRDefault="00CA7264" w:rsidP="000A36E2">
            <w:pPr>
              <w:pStyle w:val="Compact"/>
              <w:spacing w:before="0" w:after="0" w:line="264" w:lineRule="auto"/>
              <w:jc w:val="center"/>
            </w:pPr>
            <w:r>
              <w:t>95% CI</w:t>
            </w:r>
          </w:p>
        </w:tc>
      </w:tr>
      <w:tr w:rsidR="000A36E2" w14:paraId="2F0C581F" w14:textId="77777777" w:rsidTr="000A36E2">
        <w:tc>
          <w:tcPr>
            <w:tcW w:w="0" w:type="auto"/>
            <w:vMerge w:val="restart"/>
            <w:tcBorders>
              <w:top w:val="single" w:sz="4" w:space="0" w:color="auto"/>
            </w:tcBorders>
            <w:vAlign w:val="center"/>
          </w:tcPr>
          <w:p w14:paraId="50AEF8FF" w14:textId="77B2D9F5" w:rsidR="000A36E2" w:rsidRDefault="000A36E2" w:rsidP="000A36E2">
            <w:pPr>
              <w:pStyle w:val="Compact"/>
              <w:spacing w:before="0" w:after="0" w:line="264" w:lineRule="auto"/>
              <w:jc w:val="center"/>
            </w:pPr>
            <w:r>
              <w:t>Fall 2019</w:t>
            </w:r>
          </w:p>
        </w:tc>
        <w:tc>
          <w:tcPr>
            <w:tcW w:w="0" w:type="auto"/>
            <w:tcBorders>
              <w:top w:val="single" w:sz="4" w:space="0" w:color="auto"/>
            </w:tcBorders>
            <w:vAlign w:val="center"/>
          </w:tcPr>
          <w:p w14:paraId="63932C4C" w14:textId="77777777" w:rsidR="000A36E2" w:rsidRDefault="000A36E2" w:rsidP="000A36E2">
            <w:pPr>
              <w:pStyle w:val="Compact"/>
              <w:spacing w:before="0" w:after="0" w:line="264" w:lineRule="auto"/>
              <w:jc w:val="center"/>
            </w:pPr>
            <w:r>
              <w:t>Chapman</w:t>
            </w:r>
          </w:p>
        </w:tc>
        <w:tc>
          <w:tcPr>
            <w:tcW w:w="1066" w:type="dxa"/>
            <w:tcBorders>
              <w:top w:val="single" w:sz="4" w:space="0" w:color="auto"/>
            </w:tcBorders>
            <w:vAlign w:val="center"/>
          </w:tcPr>
          <w:p w14:paraId="20173B66" w14:textId="77777777" w:rsidR="000A36E2" w:rsidRDefault="000A36E2" w:rsidP="000A36E2">
            <w:pPr>
              <w:pStyle w:val="Compact"/>
              <w:spacing w:before="0" w:after="0" w:line="264" w:lineRule="auto"/>
              <w:jc w:val="center"/>
            </w:pPr>
            <w:r>
              <w:t>13,298</w:t>
            </w:r>
          </w:p>
        </w:tc>
        <w:tc>
          <w:tcPr>
            <w:tcW w:w="990" w:type="dxa"/>
            <w:tcBorders>
              <w:top w:val="single" w:sz="4" w:space="0" w:color="auto"/>
            </w:tcBorders>
            <w:vAlign w:val="center"/>
          </w:tcPr>
          <w:p w14:paraId="364E7F16" w14:textId="77777777" w:rsidR="000A36E2" w:rsidRDefault="000A36E2" w:rsidP="000A36E2">
            <w:pPr>
              <w:pStyle w:val="Compact"/>
              <w:spacing w:before="0" w:after="0" w:line="264" w:lineRule="auto"/>
              <w:jc w:val="center"/>
            </w:pPr>
            <w:r>
              <w:t>4,322</w:t>
            </w:r>
          </w:p>
        </w:tc>
        <w:tc>
          <w:tcPr>
            <w:tcW w:w="0" w:type="auto"/>
            <w:tcBorders>
              <w:top w:val="single" w:sz="4" w:space="0" w:color="auto"/>
            </w:tcBorders>
            <w:vAlign w:val="center"/>
          </w:tcPr>
          <w:p w14:paraId="7C6E5052" w14:textId="77777777" w:rsidR="000A36E2" w:rsidRDefault="000A36E2" w:rsidP="000A36E2">
            <w:pPr>
              <w:pStyle w:val="Compact"/>
              <w:spacing w:before="0" w:after="0" w:line="264" w:lineRule="auto"/>
              <w:jc w:val="center"/>
            </w:pPr>
            <w:r>
              <w:t>6,898 - 27,893</w:t>
            </w:r>
          </w:p>
        </w:tc>
      </w:tr>
      <w:tr w:rsidR="000A36E2" w14:paraId="01E1F415" w14:textId="77777777" w:rsidTr="000A36E2">
        <w:tc>
          <w:tcPr>
            <w:tcW w:w="0" w:type="auto"/>
            <w:vMerge/>
            <w:vAlign w:val="center"/>
          </w:tcPr>
          <w:p w14:paraId="079D5A55" w14:textId="2626CEB5" w:rsidR="000A36E2" w:rsidRDefault="000A36E2" w:rsidP="000A36E2">
            <w:pPr>
              <w:pStyle w:val="Compact"/>
              <w:spacing w:before="0" w:after="0" w:line="264" w:lineRule="auto"/>
              <w:jc w:val="center"/>
            </w:pPr>
          </w:p>
        </w:tc>
        <w:tc>
          <w:tcPr>
            <w:tcW w:w="0" w:type="auto"/>
            <w:vAlign w:val="center"/>
          </w:tcPr>
          <w:p w14:paraId="3A9F23C7" w14:textId="77777777" w:rsidR="000A36E2" w:rsidRDefault="000A36E2" w:rsidP="000A36E2">
            <w:pPr>
              <w:pStyle w:val="Compact"/>
              <w:spacing w:before="0" w:after="0" w:line="264" w:lineRule="auto"/>
              <w:jc w:val="center"/>
            </w:pPr>
            <w:r>
              <w:t>Schnabel</w:t>
            </w:r>
          </w:p>
        </w:tc>
        <w:tc>
          <w:tcPr>
            <w:tcW w:w="1066" w:type="dxa"/>
            <w:vAlign w:val="center"/>
          </w:tcPr>
          <w:p w14:paraId="062C6C47" w14:textId="77777777" w:rsidR="000A36E2" w:rsidRDefault="000A36E2" w:rsidP="000A36E2">
            <w:pPr>
              <w:pStyle w:val="Compact"/>
              <w:spacing w:before="0" w:after="0" w:line="264" w:lineRule="auto"/>
              <w:jc w:val="center"/>
            </w:pPr>
            <w:r>
              <w:t>18,732</w:t>
            </w:r>
          </w:p>
        </w:tc>
        <w:tc>
          <w:tcPr>
            <w:tcW w:w="990" w:type="dxa"/>
            <w:vAlign w:val="center"/>
          </w:tcPr>
          <w:p w14:paraId="7142913E" w14:textId="77777777" w:rsidR="000A36E2" w:rsidRDefault="000A36E2" w:rsidP="000A36E2">
            <w:pPr>
              <w:pStyle w:val="Compact"/>
              <w:spacing w:before="0" w:after="0" w:line="264" w:lineRule="auto"/>
              <w:jc w:val="center"/>
            </w:pPr>
            <w:r>
              <w:t>NA</w:t>
            </w:r>
          </w:p>
        </w:tc>
        <w:tc>
          <w:tcPr>
            <w:tcW w:w="0" w:type="auto"/>
            <w:vAlign w:val="center"/>
          </w:tcPr>
          <w:p w14:paraId="21CAF33B" w14:textId="77777777" w:rsidR="000A36E2" w:rsidRDefault="000A36E2" w:rsidP="000A36E2">
            <w:pPr>
              <w:pStyle w:val="Compact"/>
              <w:spacing w:before="0" w:after="0" w:line="264" w:lineRule="auto"/>
              <w:jc w:val="center"/>
            </w:pPr>
            <w:r>
              <w:t>10,057 - 37,851</w:t>
            </w:r>
          </w:p>
        </w:tc>
      </w:tr>
      <w:tr w:rsidR="000A36E2" w14:paraId="40F54CAE" w14:textId="77777777" w:rsidTr="000A36E2">
        <w:tc>
          <w:tcPr>
            <w:tcW w:w="0" w:type="auto"/>
            <w:vMerge/>
            <w:vAlign w:val="center"/>
          </w:tcPr>
          <w:p w14:paraId="545D6E58" w14:textId="4EDF4357" w:rsidR="000A36E2" w:rsidRDefault="000A36E2" w:rsidP="000A36E2">
            <w:pPr>
              <w:pStyle w:val="Compact"/>
              <w:spacing w:before="0" w:after="0" w:line="264" w:lineRule="auto"/>
              <w:jc w:val="center"/>
            </w:pPr>
          </w:p>
        </w:tc>
        <w:tc>
          <w:tcPr>
            <w:tcW w:w="0" w:type="auto"/>
            <w:vAlign w:val="center"/>
          </w:tcPr>
          <w:p w14:paraId="1F5EFFF6" w14:textId="77777777" w:rsidR="000A36E2" w:rsidRDefault="000A36E2" w:rsidP="000A36E2">
            <w:pPr>
              <w:pStyle w:val="Compact"/>
              <w:spacing w:before="0" w:after="0" w:line="264" w:lineRule="auto"/>
              <w:jc w:val="center"/>
            </w:pPr>
            <w:r>
              <w:t>Schnabel - Delayed Mixing</w:t>
            </w:r>
          </w:p>
        </w:tc>
        <w:tc>
          <w:tcPr>
            <w:tcW w:w="1066" w:type="dxa"/>
            <w:vAlign w:val="center"/>
          </w:tcPr>
          <w:p w14:paraId="1A8E509E" w14:textId="77777777" w:rsidR="000A36E2" w:rsidRDefault="000A36E2" w:rsidP="000A36E2">
            <w:pPr>
              <w:pStyle w:val="Compact"/>
              <w:spacing w:before="0" w:after="0" w:line="264" w:lineRule="auto"/>
              <w:jc w:val="center"/>
            </w:pPr>
            <w:r>
              <w:t>12,480</w:t>
            </w:r>
          </w:p>
        </w:tc>
        <w:tc>
          <w:tcPr>
            <w:tcW w:w="990" w:type="dxa"/>
            <w:vAlign w:val="center"/>
          </w:tcPr>
          <w:p w14:paraId="60B7857A" w14:textId="77777777" w:rsidR="000A36E2" w:rsidRDefault="000A36E2" w:rsidP="000A36E2">
            <w:pPr>
              <w:pStyle w:val="Compact"/>
              <w:spacing w:before="0" w:after="0" w:line="264" w:lineRule="auto"/>
              <w:jc w:val="center"/>
            </w:pPr>
            <w:r>
              <w:t>NA</w:t>
            </w:r>
          </w:p>
        </w:tc>
        <w:tc>
          <w:tcPr>
            <w:tcW w:w="0" w:type="auto"/>
            <w:vAlign w:val="center"/>
          </w:tcPr>
          <w:p w14:paraId="7B888F7B" w14:textId="77777777" w:rsidR="000A36E2" w:rsidRDefault="000A36E2" w:rsidP="000A36E2">
            <w:pPr>
              <w:pStyle w:val="Compact"/>
              <w:spacing w:before="0" w:after="0" w:line="264" w:lineRule="auto"/>
              <w:jc w:val="center"/>
            </w:pPr>
            <w:r>
              <w:t>6,701 - 25,219</w:t>
            </w:r>
          </w:p>
        </w:tc>
      </w:tr>
      <w:tr w:rsidR="000F094D" w14:paraId="52644CBA" w14:textId="77777777" w:rsidTr="000A36E2">
        <w:tc>
          <w:tcPr>
            <w:tcW w:w="0" w:type="auto"/>
            <w:vAlign w:val="center"/>
          </w:tcPr>
          <w:p w14:paraId="317C6EA4" w14:textId="77777777" w:rsidR="000F094D" w:rsidRDefault="000F094D" w:rsidP="000A36E2">
            <w:pPr>
              <w:pStyle w:val="Compact"/>
              <w:spacing w:before="0" w:after="0" w:line="264" w:lineRule="auto"/>
              <w:jc w:val="center"/>
            </w:pPr>
          </w:p>
        </w:tc>
        <w:tc>
          <w:tcPr>
            <w:tcW w:w="0" w:type="auto"/>
            <w:vAlign w:val="center"/>
          </w:tcPr>
          <w:p w14:paraId="0DAD5B07" w14:textId="77777777" w:rsidR="000F094D" w:rsidRDefault="000F094D" w:rsidP="000A36E2">
            <w:pPr>
              <w:pStyle w:val="Compact"/>
              <w:spacing w:before="0" w:after="0" w:line="264" w:lineRule="auto"/>
              <w:jc w:val="center"/>
            </w:pPr>
          </w:p>
        </w:tc>
        <w:tc>
          <w:tcPr>
            <w:tcW w:w="1066" w:type="dxa"/>
            <w:vAlign w:val="center"/>
          </w:tcPr>
          <w:p w14:paraId="4E89E007" w14:textId="77777777" w:rsidR="000F094D" w:rsidRDefault="000F094D" w:rsidP="000A36E2">
            <w:pPr>
              <w:pStyle w:val="Compact"/>
              <w:spacing w:before="0" w:after="0" w:line="264" w:lineRule="auto"/>
              <w:jc w:val="center"/>
            </w:pPr>
          </w:p>
        </w:tc>
        <w:tc>
          <w:tcPr>
            <w:tcW w:w="990" w:type="dxa"/>
            <w:vAlign w:val="center"/>
          </w:tcPr>
          <w:p w14:paraId="1A644722" w14:textId="77777777" w:rsidR="000F094D" w:rsidRDefault="000F094D" w:rsidP="000A36E2">
            <w:pPr>
              <w:pStyle w:val="Compact"/>
              <w:spacing w:before="0" w:after="0" w:line="264" w:lineRule="auto"/>
              <w:jc w:val="center"/>
            </w:pPr>
          </w:p>
        </w:tc>
        <w:tc>
          <w:tcPr>
            <w:tcW w:w="0" w:type="auto"/>
            <w:vAlign w:val="center"/>
          </w:tcPr>
          <w:p w14:paraId="1409ADFC" w14:textId="77777777" w:rsidR="000F094D" w:rsidRDefault="000F094D" w:rsidP="000A36E2">
            <w:pPr>
              <w:pStyle w:val="Compact"/>
              <w:spacing w:before="0" w:after="0" w:line="264" w:lineRule="auto"/>
              <w:jc w:val="center"/>
            </w:pPr>
          </w:p>
        </w:tc>
      </w:tr>
      <w:tr w:rsidR="000A36E2" w14:paraId="12509BB5" w14:textId="77777777" w:rsidTr="000A36E2">
        <w:tc>
          <w:tcPr>
            <w:tcW w:w="0" w:type="auto"/>
            <w:vMerge w:val="restart"/>
            <w:vAlign w:val="center"/>
          </w:tcPr>
          <w:p w14:paraId="1D8B97BD" w14:textId="367A198C" w:rsidR="000A36E2" w:rsidRDefault="000A36E2" w:rsidP="000A36E2">
            <w:pPr>
              <w:pStyle w:val="Compact"/>
              <w:spacing w:before="0" w:after="0" w:line="264" w:lineRule="auto"/>
              <w:jc w:val="center"/>
            </w:pPr>
            <w:r>
              <w:t>Fall 2020</w:t>
            </w:r>
          </w:p>
        </w:tc>
        <w:tc>
          <w:tcPr>
            <w:tcW w:w="0" w:type="auto"/>
            <w:vAlign w:val="center"/>
          </w:tcPr>
          <w:p w14:paraId="0F48F00D" w14:textId="77777777" w:rsidR="000A36E2" w:rsidRDefault="000A36E2" w:rsidP="000A36E2">
            <w:pPr>
              <w:pStyle w:val="Compact"/>
              <w:spacing w:before="0" w:after="0" w:line="264" w:lineRule="auto"/>
              <w:jc w:val="center"/>
            </w:pPr>
            <w:r>
              <w:t>Chapman</w:t>
            </w:r>
          </w:p>
        </w:tc>
        <w:tc>
          <w:tcPr>
            <w:tcW w:w="1066" w:type="dxa"/>
            <w:vAlign w:val="center"/>
          </w:tcPr>
          <w:p w14:paraId="7C2DD3A6" w14:textId="77777777" w:rsidR="000A36E2" w:rsidRDefault="000A36E2" w:rsidP="000A36E2">
            <w:pPr>
              <w:pStyle w:val="Compact"/>
              <w:spacing w:before="0" w:after="0" w:line="264" w:lineRule="auto"/>
              <w:jc w:val="center"/>
            </w:pPr>
            <w:r>
              <w:t>24,381</w:t>
            </w:r>
          </w:p>
        </w:tc>
        <w:tc>
          <w:tcPr>
            <w:tcW w:w="990" w:type="dxa"/>
            <w:vAlign w:val="center"/>
          </w:tcPr>
          <w:p w14:paraId="051D789A" w14:textId="77777777" w:rsidR="000A36E2" w:rsidRDefault="000A36E2" w:rsidP="000A36E2">
            <w:pPr>
              <w:pStyle w:val="Compact"/>
              <w:spacing w:before="0" w:after="0" w:line="264" w:lineRule="auto"/>
              <w:jc w:val="center"/>
            </w:pPr>
            <w:r>
              <w:t>9,066</w:t>
            </w:r>
          </w:p>
        </w:tc>
        <w:tc>
          <w:tcPr>
            <w:tcW w:w="0" w:type="auto"/>
            <w:vAlign w:val="center"/>
          </w:tcPr>
          <w:p w14:paraId="56A851A2" w14:textId="77777777" w:rsidR="000A36E2" w:rsidRDefault="000A36E2" w:rsidP="000A36E2">
            <w:pPr>
              <w:pStyle w:val="Compact"/>
              <w:spacing w:before="0" w:after="0" w:line="264" w:lineRule="auto"/>
              <w:jc w:val="center"/>
            </w:pPr>
            <w:r>
              <w:t>11,547 - 55,761</w:t>
            </w:r>
          </w:p>
        </w:tc>
      </w:tr>
      <w:tr w:rsidR="000A36E2" w14:paraId="79EE0B7C" w14:textId="77777777" w:rsidTr="000A36E2">
        <w:tc>
          <w:tcPr>
            <w:tcW w:w="0" w:type="auto"/>
            <w:vMerge/>
            <w:vAlign w:val="center"/>
          </w:tcPr>
          <w:p w14:paraId="397218CA" w14:textId="2BBDA80B" w:rsidR="000A36E2" w:rsidRDefault="000A36E2" w:rsidP="000A36E2">
            <w:pPr>
              <w:pStyle w:val="Compact"/>
              <w:spacing w:before="0" w:after="0" w:line="264" w:lineRule="auto"/>
              <w:jc w:val="center"/>
            </w:pPr>
          </w:p>
        </w:tc>
        <w:tc>
          <w:tcPr>
            <w:tcW w:w="0" w:type="auto"/>
            <w:vAlign w:val="center"/>
          </w:tcPr>
          <w:p w14:paraId="692DD366" w14:textId="77777777" w:rsidR="000A36E2" w:rsidRDefault="000A36E2" w:rsidP="000A36E2">
            <w:pPr>
              <w:pStyle w:val="Compact"/>
              <w:spacing w:before="0" w:after="0" w:line="264" w:lineRule="auto"/>
              <w:jc w:val="center"/>
            </w:pPr>
            <w:r>
              <w:t>Schnabel</w:t>
            </w:r>
          </w:p>
        </w:tc>
        <w:tc>
          <w:tcPr>
            <w:tcW w:w="1066" w:type="dxa"/>
            <w:vAlign w:val="center"/>
          </w:tcPr>
          <w:p w14:paraId="1E13DDFA" w14:textId="77777777" w:rsidR="000A36E2" w:rsidRDefault="000A36E2" w:rsidP="000A36E2">
            <w:pPr>
              <w:pStyle w:val="Compact"/>
              <w:spacing w:before="0" w:after="0" w:line="264" w:lineRule="auto"/>
              <w:jc w:val="center"/>
            </w:pPr>
            <w:r>
              <w:t>37,016</w:t>
            </w:r>
          </w:p>
        </w:tc>
        <w:tc>
          <w:tcPr>
            <w:tcW w:w="990" w:type="dxa"/>
            <w:vAlign w:val="center"/>
          </w:tcPr>
          <w:p w14:paraId="7B378533" w14:textId="77777777" w:rsidR="000A36E2" w:rsidRDefault="000A36E2" w:rsidP="000A36E2">
            <w:pPr>
              <w:pStyle w:val="Compact"/>
              <w:spacing w:before="0" w:after="0" w:line="264" w:lineRule="auto"/>
              <w:jc w:val="center"/>
            </w:pPr>
            <w:r>
              <w:t>NA</w:t>
            </w:r>
          </w:p>
        </w:tc>
        <w:tc>
          <w:tcPr>
            <w:tcW w:w="0" w:type="auto"/>
            <w:vAlign w:val="center"/>
          </w:tcPr>
          <w:p w14:paraId="1BFDFD60" w14:textId="77777777" w:rsidR="000A36E2" w:rsidRDefault="000A36E2" w:rsidP="000A36E2">
            <w:pPr>
              <w:pStyle w:val="Compact"/>
              <w:spacing w:before="0" w:after="0" w:line="264" w:lineRule="auto"/>
              <w:jc w:val="center"/>
            </w:pPr>
            <w:r>
              <w:t>18,430 - 80,924</w:t>
            </w:r>
          </w:p>
        </w:tc>
      </w:tr>
      <w:tr w:rsidR="000A36E2" w14:paraId="387090EE" w14:textId="77777777" w:rsidTr="000A36E2">
        <w:tc>
          <w:tcPr>
            <w:tcW w:w="0" w:type="auto"/>
            <w:vMerge/>
            <w:tcBorders>
              <w:bottom w:val="single" w:sz="4" w:space="0" w:color="auto"/>
            </w:tcBorders>
            <w:vAlign w:val="center"/>
          </w:tcPr>
          <w:p w14:paraId="3C3B9C6B" w14:textId="47D92185" w:rsidR="000A36E2" w:rsidRDefault="000A36E2" w:rsidP="000A36E2">
            <w:pPr>
              <w:pStyle w:val="Compact"/>
              <w:spacing w:before="0" w:after="0" w:line="264" w:lineRule="auto"/>
              <w:jc w:val="center"/>
            </w:pPr>
          </w:p>
        </w:tc>
        <w:tc>
          <w:tcPr>
            <w:tcW w:w="0" w:type="auto"/>
            <w:tcBorders>
              <w:bottom w:val="single" w:sz="4" w:space="0" w:color="auto"/>
            </w:tcBorders>
            <w:vAlign w:val="center"/>
          </w:tcPr>
          <w:p w14:paraId="55EC7ED3" w14:textId="77777777" w:rsidR="000A36E2" w:rsidRDefault="000A36E2" w:rsidP="000A36E2">
            <w:pPr>
              <w:pStyle w:val="Compact"/>
              <w:spacing w:before="0" w:after="0" w:line="264" w:lineRule="auto"/>
              <w:jc w:val="center"/>
            </w:pPr>
            <w:r>
              <w:t>Schnabel - Delayed Mixing</w:t>
            </w:r>
          </w:p>
        </w:tc>
        <w:tc>
          <w:tcPr>
            <w:tcW w:w="1066" w:type="dxa"/>
            <w:tcBorders>
              <w:bottom w:val="single" w:sz="4" w:space="0" w:color="auto"/>
            </w:tcBorders>
            <w:vAlign w:val="center"/>
          </w:tcPr>
          <w:p w14:paraId="6CCA4934" w14:textId="77777777" w:rsidR="000A36E2" w:rsidRDefault="000A36E2" w:rsidP="000A36E2">
            <w:pPr>
              <w:pStyle w:val="Compact"/>
              <w:spacing w:before="0" w:after="0" w:line="264" w:lineRule="auto"/>
              <w:jc w:val="center"/>
            </w:pPr>
            <w:r>
              <w:t>26,518</w:t>
            </w:r>
          </w:p>
        </w:tc>
        <w:tc>
          <w:tcPr>
            <w:tcW w:w="990" w:type="dxa"/>
            <w:tcBorders>
              <w:bottom w:val="single" w:sz="4" w:space="0" w:color="auto"/>
            </w:tcBorders>
            <w:vAlign w:val="center"/>
          </w:tcPr>
          <w:p w14:paraId="276746F4" w14:textId="77777777" w:rsidR="000A36E2" w:rsidRDefault="000A36E2" w:rsidP="000A36E2">
            <w:pPr>
              <w:pStyle w:val="Compact"/>
              <w:spacing w:before="0" w:after="0" w:line="264" w:lineRule="auto"/>
              <w:jc w:val="center"/>
            </w:pPr>
            <w:r>
              <w:t>NA</w:t>
            </w:r>
          </w:p>
        </w:tc>
        <w:tc>
          <w:tcPr>
            <w:tcW w:w="0" w:type="auto"/>
            <w:tcBorders>
              <w:bottom w:val="single" w:sz="4" w:space="0" w:color="auto"/>
            </w:tcBorders>
            <w:vAlign w:val="center"/>
          </w:tcPr>
          <w:p w14:paraId="4019CA3E" w14:textId="77777777" w:rsidR="000A36E2" w:rsidRDefault="000A36E2" w:rsidP="000A36E2">
            <w:pPr>
              <w:pStyle w:val="Compact"/>
              <w:spacing w:before="0" w:after="0" w:line="264" w:lineRule="auto"/>
              <w:jc w:val="center"/>
            </w:pPr>
            <w:r>
              <w:t>13,203 - 57,975</w:t>
            </w:r>
          </w:p>
        </w:tc>
      </w:tr>
    </w:tbl>
    <w:p w14:paraId="5174BD39" w14:textId="77777777" w:rsidR="00B40F81" w:rsidRDefault="00CA7264">
      <w:r>
        <w:br w:type="page"/>
      </w:r>
    </w:p>
    <w:p w14:paraId="068C077B" w14:textId="0FA691E4" w:rsidR="00B40F81" w:rsidRDefault="00C7224F">
      <w:pPr>
        <w:pStyle w:val="TableCaption"/>
      </w:pPr>
      <w:r>
        <w:lastRenderedPageBreak/>
        <w:t>TABLE 4.</w:t>
      </w:r>
      <w:r w:rsidR="00CA7264">
        <w:t xml:space="preserve"> Counts of the total number of Northern Pikeminnow captured, gastric lavaged, individuals with stomach contents, and individuals with fish prey contents.</w:t>
      </w:r>
    </w:p>
    <w:tbl>
      <w:tblPr>
        <w:tblStyle w:val="Table"/>
        <w:tblW w:w="0" w:type="auto"/>
        <w:tblLook w:val="0020" w:firstRow="1" w:lastRow="0" w:firstColumn="0" w:lastColumn="0" w:noHBand="0" w:noVBand="0"/>
      </w:tblPr>
      <w:tblGrid>
        <w:gridCol w:w="1397"/>
        <w:gridCol w:w="1096"/>
        <w:gridCol w:w="1043"/>
        <w:gridCol w:w="1522"/>
        <w:gridCol w:w="1080"/>
      </w:tblGrid>
      <w:tr w:rsidR="00B40F81" w14:paraId="42AD4E68" w14:textId="77777777" w:rsidTr="000A36E2">
        <w:trPr>
          <w:tblHeader/>
        </w:trPr>
        <w:tc>
          <w:tcPr>
            <w:tcW w:w="0" w:type="auto"/>
            <w:tcBorders>
              <w:top w:val="single" w:sz="4" w:space="0" w:color="auto"/>
              <w:bottom w:val="single" w:sz="4" w:space="0" w:color="auto"/>
            </w:tcBorders>
            <w:vAlign w:val="center"/>
          </w:tcPr>
          <w:p w14:paraId="4507B002" w14:textId="77777777" w:rsidR="00B40F81" w:rsidRDefault="00CA7264" w:rsidP="000A36E2">
            <w:pPr>
              <w:pStyle w:val="Compact"/>
              <w:spacing w:before="0" w:after="0" w:line="264" w:lineRule="auto"/>
              <w:jc w:val="center"/>
            </w:pPr>
            <w:r>
              <w:t>Survey</w:t>
            </w:r>
          </w:p>
        </w:tc>
        <w:tc>
          <w:tcPr>
            <w:tcW w:w="0" w:type="auto"/>
            <w:tcBorders>
              <w:top w:val="single" w:sz="4" w:space="0" w:color="auto"/>
              <w:bottom w:val="single" w:sz="4" w:space="0" w:color="auto"/>
            </w:tcBorders>
            <w:vAlign w:val="center"/>
          </w:tcPr>
          <w:p w14:paraId="52F80AA7" w14:textId="77777777" w:rsidR="00B40F81" w:rsidRDefault="00CA7264" w:rsidP="000A36E2">
            <w:pPr>
              <w:pStyle w:val="Compact"/>
              <w:spacing w:before="0" w:after="0" w:line="264" w:lineRule="auto"/>
              <w:jc w:val="center"/>
            </w:pPr>
            <w:r>
              <w:t>Captured</w:t>
            </w:r>
          </w:p>
        </w:tc>
        <w:tc>
          <w:tcPr>
            <w:tcW w:w="0" w:type="auto"/>
            <w:tcBorders>
              <w:top w:val="single" w:sz="4" w:space="0" w:color="auto"/>
              <w:bottom w:val="single" w:sz="4" w:space="0" w:color="auto"/>
            </w:tcBorders>
            <w:vAlign w:val="center"/>
          </w:tcPr>
          <w:p w14:paraId="10BD7EEA" w14:textId="77777777" w:rsidR="00B40F81" w:rsidRDefault="00CA7264" w:rsidP="000A36E2">
            <w:pPr>
              <w:pStyle w:val="Compact"/>
              <w:spacing w:before="0" w:after="0" w:line="264" w:lineRule="auto"/>
              <w:jc w:val="center"/>
            </w:pPr>
            <w:r>
              <w:t>Lavaged</w:t>
            </w:r>
          </w:p>
        </w:tc>
        <w:tc>
          <w:tcPr>
            <w:tcW w:w="1522" w:type="dxa"/>
            <w:tcBorders>
              <w:top w:val="single" w:sz="4" w:space="0" w:color="auto"/>
              <w:bottom w:val="single" w:sz="4" w:space="0" w:color="auto"/>
            </w:tcBorders>
            <w:vAlign w:val="center"/>
          </w:tcPr>
          <w:p w14:paraId="50BA8D1B" w14:textId="77777777" w:rsidR="00B40F81" w:rsidRDefault="00CA7264" w:rsidP="000A36E2">
            <w:pPr>
              <w:pStyle w:val="Compact"/>
              <w:spacing w:before="0" w:after="0" w:line="264" w:lineRule="auto"/>
              <w:jc w:val="center"/>
            </w:pPr>
            <w:r>
              <w:t>Stomach Contents</w:t>
            </w:r>
          </w:p>
        </w:tc>
        <w:tc>
          <w:tcPr>
            <w:tcW w:w="1080" w:type="dxa"/>
            <w:tcBorders>
              <w:top w:val="single" w:sz="4" w:space="0" w:color="auto"/>
              <w:bottom w:val="single" w:sz="4" w:space="0" w:color="auto"/>
            </w:tcBorders>
            <w:vAlign w:val="center"/>
          </w:tcPr>
          <w:p w14:paraId="1FC42432" w14:textId="77777777" w:rsidR="00B40F81" w:rsidRDefault="00CA7264" w:rsidP="000A36E2">
            <w:pPr>
              <w:pStyle w:val="Compact"/>
              <w:spacing w:before="0" w:after="0" w:line="264" w:lineRule="auto"/>
              <w:jc w:val="center"/>
            </w:pPr>
            <w:r>
              <w:t>Fish Contents</w:t>
            </w:r>
          </w:p>
        </w:tc>
      </w:tr>
      <w:tr w:rsidR="00B40F81" w14:paraId="1603E756" w14:textId="77777777" w:rsidTr="000A36E2">
        <w:tc>
          <w:tcPr>
            <w:tcW w:w="0" w:type="auto"/>
            <w:tcBorders>
              <w:top w:val="single" w:sz="4" w:space="0" w:color="auto"/>
            </w:tcBorders>
            <w:vAlign w:val="center"/>
          </w:tcPr>
          <w:p w14:paraId="0DA5C71F" w14:textId="77777777" w:rsidR="00B40F81" w:rsidRDefault="00CA7264" w:rsidP="000A36E2">
            <w:pPr>
              <w:pStyle w:val="Compact"/>
              <w:spacing w:before="0" w:after="0" w:line="264" w:lineRule="auto"/>
              <w:jc w:val="center"/>
            </w:pPr>
            <w:r>
              <w:t>Fall 2019</w:t>
            </w:r>
          </w:p>
        </w:tc>
        <w:tc>
          <w:tcPr>
            <w:tcW w:w="0" w:type="auto"/>
            <w:tcBorders>
              <w:top w:val="single" w:sz="4" w:space="0" w:color="auto"/>
            </w:tcBorders>
            <w:vAlign w:val="center"/>
          </w:tcPr>
          <w:p w14:paraId="2BD4B3D9" w14:textId="77777777" w:rsidR="00B40F81" w:rsidRDefault="00CA7264" w:rsidP="000A36E2">
            <w:pPr>
              <w:pStyle w:val="Compact"/>
              <w:spacing w:before="0" w:after="0" w:line="264" w:lineRule="auto"/>
              <w:jc w:val="center"/>
            </w:pPr>
            <w:r>
              <w:t>664</w:t>
            </w:r>
          </w:p>
        </w:tc>
        <w:tc>
          <w:tcPr>
            <w:tcW w:w="0" w:type="auto"/>
            <w:tcBorders>
              <w:top w:val="single" w:sz="4" w:space="0" w:color="auto"/>
            </w:tcBorders>
            <w:vAlign w:val="center"/>
          </w:tcPr>
          <w:p w14:paraId="1A045F88" w14:textId="77777777" w:rsidR="00B40F81" w:rsidRDefault="00CA7264" w:rsidP="000A36E2">
            <w:pPr>
              <w:pStyle w:val="Compact"/>
              <w:spacing w:before="0" w:after="0" w:line="264" w:lineRule="auto"/>
              <w:jc w:val="center"/>
            </w:pPr>
            <w:r>
              <w:t>660</w:t>
            </w:r>
          </w:p>
        </w:tc>
        <w:tc>
          <w:tcPr>
            <w:tcW w:w="1522" w:type="dxa"/>
            <w:tcBorders>
              <w:top w:val="single" w:sz="4" w:space="0" w:color="auto"/>
            </w:tcBorders>
            <w:vAlign w:val="center"/>
          </w:tcPr>
          <w:p w14:paraId="34D193C3" w14:textId="77777777" w:rsidR="00B40F81" w:rsidRDefault="00CA7264" w:rsidP="000A36E2">
            <w:pPr>
              <w:pStyle w:val="Compact"/>
              <w:spacing w:before="0" w:after="0" w:line="264" w:lineRule="auto"/>
              <w:jc w:val="center"/>
            </w:pPr>
            <w:r>
              <w:t>57</w:t>
            </w:r>
          </w:p>
        </w:tc>
        <w:tc>
          <w:tcPr>
            <w:tcW w:w="1080" w:type="dxa"/>
            <w:tcBorders>
              <w:top w:val="single" w:sz="4" w:space="0" w:color="auto"/>
            </w:tcBorders>
            <w:vAlign w:val="center"/>
          </w:tcPr>
          <w:p w14:paraId="671E71E2" w14:textId="77777777" w:rsidR="00B40F81" w:rsidRDefault="00CA7264" w:rsidP="000A36E2">
            <w:pPr>
              <w:pStyle w:val="Compact"/>
              <w:spacing w:before="0" w:after="0" w:line="264" w:lineRule="auto"/>
              <w:jc w:val="center"/>
            </w:pPr>
            <w:r>
              <w:t>12</w:t>
            </w:r>
          </w:p>
        </w:tc>
      </w:tr>
      <w:tr w:rsidR="00B40F81" w14:paraId="6D9E9AAD" w14:textId="77777777" w:rsidTr="000A36E2">
        <w:tc>
          <w:tcPr>
            <w:tcW w:w="0" w:type="auto"/>
            <w:vAlign w:val="center"/>
          </w:tcPr>
          <w:p w14:paraId="2ECE87DD" w14:textId="77777777" w:rsidR="00B40F81" w:rsidRDefault="00CA7264" w:rsidP="000A36E2">
            <w:pPr>
              <w:pStyle w:val="Compact"/>
              <w:spacing w:before="0" w:after="0" w:line="264" w:lineRule="auto"/>
              <w:jc w:val="center"/>
            </w:pPr>
            <w:r>
              <w:t>Fall 2020</w:t>
            </w:r>
          </w:p>
        </w:tc>
        <w:tc>
          <w:tcPr>
            <w:tcW w:w="0" w:type="auto"/>
            <w:vAlign w:val="center"/>
          </w:tcPr>
          <w:p w14:paraId="443EF6E9" w14:textId="77777777" w:rsidR="00B40F81" w:rsidRDefault="00CA7264" w:rsidP="000A36E2">
            <w:pPr>
              <w:pStyle w:val="Compact"/>
              <w:spacing w:before="0" w:after="0" w:line="264" w:lineRule="auto"/>
              <w:jc w:val="center"/>
            </w:pPr>
            <w:r>
              <w:t>797</w:t>
            </w:r>
          </w:p>
        </w:tc>
        <w:tc>
          <w:tcPr>
            <w:tcW w:w="0" w:type="auto"/>
            <w:vAlign w:val="center"/>
          </w:tcPr>
          <w:p w14:paraId="3E932961" w14:textId="77777777" w:rsidR="00B40F81" w:rsidRDefault="00CA7264" w:rsidP="000A36E2">
            <w:pPr>
              <w:pStyle w:val="Compact"/>
              <w:spacing w:before="0" w:after="0" w:line="264" w:lineRule="auto"/>
              <w:jc w:val="center"/>
            </w:pPr>
            <w:r>
              <w:t>793</w:t>
            </w:r>
          </w:p>
        </w:tc>
        <w:tc>
          <w:tcPr>
            <w:tcW w:w="1522" w:type="dxa"/>
            <w:vAlign w:val="center"/>
          </w:tcPr>
          <w:p w14:paraId="2EA734D2" w14:textId="77777777" w:rsidR="00B40F81" w:rsidRDefault="00CA7264" w:rsidP="000A36E2">
            <w:pPr>
              <w:pStyle w:val="Compact"/>
              <w:spacing w:before="0" w:after="0" w:line="264" w:lineRule="auto"/>
              <w:jc w:val="center"/>
            </w:pPr>
            <w:r>
              <w:t>188</w:t>
            </w:r>
          </w:p>
        </w:tc>
        <w:tc>
          <w:tcPr>
            <w:tcW w:w="1080" w:type="dxa"/>
            <w:vAlign w:val="center"/>
          </w:tcPr>
          <w:p w14:paraId="5FA23A2C" w14:textId="77777777" w:rsidR="00B40F81" w:rsidRDefault="00CA7264" w:rsidP="000A36E2">
            <w:pPr>
              <w:pStyle w:val="Compact"/>
              <w:spacing w:before="0" w:after="0" w:line="264" w:lineRule="auto"/>
              <w:jc w:val="center"/>
            </w:pPr>
            <w:r>
              <w:t>25</w:t>
            </w:r>
          </w:p>
        </w:tc>
      </w:tr>
      <w:tr w:rsidR="00B40F81" w14:paraId="79AE6E87" w14:textId="77777777" w:rsidTr="000A36E2">
        <w:tc>
          <w:tcPr>
            <w:tcW w:w="0" w:type="auto"/>
            <w:vAlign w:val="center"/>
          </w:tcPr>
          <w:p w14:paraId="78A0BFE0" w14:textId="77777777" w:rsidR="00B40F81" w:rsidRDefault="00CA7264" w:rsidP="000A36E2">
            <w:pPr>
              <w:pStyle w:val="Compact"/>
              <w:spacing w:before="0" w:after="0" w:line="264" w:lineRule="auto"/>
              <w:jc w:val="center"/>
            </w:pPr>
            <w:r>
              <w:t>Spring 2021</w:t>
            </w:r>
          </w:p>
        </w:tc>
        <w:tc>
          <w:tcPr>
            <w:tcW w:w="0" w:type="auto"/>
            <w:vAlign w:val="center"/>
          </w:tcPr>
          <w:p w14:paraId="49EDFD45" w14:textId="77777777" w:rsidR="00B40F81" w:rsidRDefault="00CA7264" w:rsidP="000A36E2">
            <w:pPr>
              <w:pStyle w:val="Compact"/>
              <w:spacing w:before="0" w:after="0" w:line="264" w:lineRule="auto"/>
              <w:jc w:val="center"/>
            </w:pPr>
            <w:r>
              <w:t>202</w:t>
            </w:r>
          </w:p>
        </w:tc>
        <w:tc>
          <w:tcPr>
            <w:tcW w:w="0" w:type="auto"/>
            <w:vAlign w:val="center"/>
          </w:tcPr>
          <w:p w14:paraId="4A1A1483" w14:textId="77777777" w:rsidR="00B40F81" w:rsidRDefault="00CA7264" w:rsidP="000A36E2">
            <w:pPr>
              <w:pStyle w:val="Compact"/>
              <w:spacing w:before="0" w:after="0" w:line="264" w:lineRule="auto"/>
              <w:jc w:val="center"/>
            </w:pPr>
            <w:r>
              <w:t>105</w:t>
            </w:r>
          </w:p>
        </w:tc>
        <w:tc>
          <w:tcPr>
            <w:tcW w:w="1522" w:type="dxa"/>
            <w:vAlign w:val="center"/>
          </w:tcPr>
          <w:p w14:paraId="6591B443" w14:textId="77777777" w:rsidR="00B40F81" w:rsidRDefault="00CA7264" w:rsidP="000A36E2">
            <w:pPr>
              <w:pStyle w:val="Compact"/>
              <w:spacing w:before="0" w:after="0" w:line="264" w:lineRule="auto"/>
              <w:jc w:val="center"/>
            </w:pPr>
            <w:r>
              <w:t>105</w:t>
            </w:r>
          </w:p>
        </w:tc>
        <w:tc>
          <w:tcPr>
            <w:tcW w:w="1080" w:type="dxa"/>
            <w:vAlign w:val="center"/>
          </w:tcPr>
          <w:p w14:paraId="21BD63E8" w14:textId="77777777" w:rsidR="00B40F81" w:rsidRDefault="00CA7264" w:rsidP="000A36E2">
            <w:pPr>
              <w:pStyle w:val="Compact"/>
              <w:spacing w:before="0" w:after="0" w:line="264" w:lineRule="auto"/>
              <w:jc w:val="center"/>
            </w:pPr>
            <w:r>
              <w:t>7</w:t>
            </w:r>
          </w:p>
        </w:tc>
      </w:tr>
      <w:tr w:rsidR="00B40F81" w14:paraId="0006101A" w14:textId="77777777" w:rsidTr="000A36E2">
        <w:tc>
          <w:tcPr>
            <w:tcW w:w="0" w:type="auto"/>
            <w:tcBorders>
              <w:bottom w:val="single" w:sz="4" w:space="0" w:color="auto"/>
            </w:tcBorders>
            <w:vAlign w:val="center"/>
          </w:tcPr>
          <w:p w14:paraId="33D33A8A" w14:textId="77777777" w:rsidR="00B40F81" w:rsidRDefault="00CA7264" w:rsidP="000A36E2">
            <w:pPr>
              <w:pStyle w:val="Compact"/>
              <w:spacing w:before="0" w:after="0" w:line="264" w:lineRule="auto"/>
              <w:jc w:val="center"/>
            </w:pPr>
            <w:r>
              <w:t>Total</w:t>
            </w:r>
          </w:p>
        </w:tc>
        <w:tc>
          <w:tcPr>
            <w:tcW w:w="0" w:type="auto"/>
            <w:tcBorders>
              <w:bottom w:val="single" w:sz="4" w:space="0" w:color="auto"/>
            </w:tcBorders>
            <w:vAlign w:val="center"/>
          </w:tcPr>
          <w:p w14:paraId="49797F99" w14:textId="77777777" w:rsidR="00B40F81" w:rsidRDefault="00CA7264" w:rsidP="000A36E2">
            <w:pPr>
              <w:pStyle w:val="Compact"/>
              <w:spacing w:before="0" w:after="0" w:line="264" w:lineRule="auto"/>
              <w:jc w:val="center"/>
            </w:pPr>
            <w:r>
              <w:t>1,663</w:t>
            </w:r>
          </w:p>
        </w:tc>
        <w:tc>
          <w:tcPr>
            <w:tcW w:w="0" w:type="auto"/>
            <w:tcBorders>
              <w:bottom w:val="single" w:sz="4" w:space="0" w:color="auto"/>
            </w:tcBorders>
            <w:vAlign w:val="center"/>
          </w:tcPr>
          <w:p w14:paraId="5520E4A7" w14:textId="77777777" w:rsidR="00B40F81" w:rsidRDefault="00CA7264" w:rsidP="000A36E2">
            <w:pPr>
              <w:pStyle w:val="Compact"/>
              <w:spacing w:before="0" w:after="0" w:line="264" w:lineRule="auto"/>
              <w:jc w:val="center"/>
            </w:pPr>
            <w:r>
              <w:t>1,558</w:t>
            </w:r>
          </w:p>
        </w:tc>
        <w:tc>
          <w:tcPr>
            <w:tcW w:w="1522" w:type="dxa"/>
            <w:tcBorders>
              <w:bottom w:val="single" w:sz="4" w:space="0" w:color="auto"/>
            </w:tcBorders>
            <w:vAlign w:val="center"/>
          </w:tcPr>
          <w:p w14:paraId="69F0ACDD" w14:textId="77777777" w:rsidR="00B40F81" w:rsidRDefault="00CA7264" w:rsidP="000A36E2">
            <w:pPr>
              <w:pStyle w:val="Compact"/>
              <w:spacing w:before="0" w:after="0" w:line="264" w:lineRule="auto"/>
              <w:jc w:val="center"/>
            </w:pPr>
            <w:r>
              <w:t>350</w:t>
            </w:r>
          </w:p>
        </w:tc>
        <w:tc>
          <w:tcPr>
            <w:tcW w:w="1080" w:type="dxa"/>
            <w:tcBorders>
              <w:bottom w:val="single" w:sz="4" w:space="0" w:color="auto"/>
            </w:tcBorders>
            <w:vAlign w:val="center"/>
          </w:tcPr>
          <w:p w14:paraId="51247E17" w14:textId="77777777" w:rsidR="00B40F81" w:rsidRDefault="00CA7264" w:rsidP="000A36E2">
            <w:pPr>
              <w:pStyle w:val="Compact"/>
              <w:spacing w:before="0" w:after="0" w:line="264" w:lineRule="auto"/>
              <w:jc w:val="center"/>
            </w:pPr>
            <w:r>
              <w:t>44</w:t>
            </w:r>
          </w:p>
        </w:tc>
      </w:tr>
    </w:tbl>
    <w:p w14:paraId="03A45D76" w14:textId="77777777" w:rsidR="00B40F81" w:rsidRDefault="00CA7264">
      <w:r>
        <w:br w:type="page"/>
      </w:r>
    </w:p>
    <w:p w14:paraId="53A22B32" w14:textId="77777777" w:rsidR="00B40F81" w:rsidRDefault="00CA7264">
      <w:pPr>
        <w:pStyle w:val="Heading1"/>
      </w:pPr>
      <w:bookmarkStart w:id="80" w:name="figures"/>
      <w:bookmarkEnd w:id="79"/>
      <w:r>
        <w:lastRenderedPageBreak/>
        <w:t>Figures</w:t>
      </w:r>
    </w:p>
    <w:p w14:paraId="6E4F9998" w14:textId="6AA4C7DA" w:rsidR="00B40F81" w:rsidRDefault="00C7224F">
      <w:pPr>
        <w:pStyle w:val="ImageCaption"/>
      </w:pPr>
      <w:r>
        <w:t>FIGURE 1.</w:t>
      </w:r>
      <w:r w:rsidR="00CA7264">
        <w:t xml:space="preserve"> Map of the Deadwater Slough study area within the Upper Salmon River MPG. The Dump Creek alluvial fan is located at the downstream end of the study reach.</w:t>
      </w:r>
    </w:p>
    <w:p w14:paraId="76874E8D" w14:textId="51C9D603" w:rsidR="00B40F81" w:rsidRDefault="00C7224F">
      <w:pPr>
        <w:pStyle w:val="ImageCaption"/>
      </w:pPr>
      <w:r>
        <w:t xml:space="preserve">FIGURE 2. </w:t>
      </w:r>
      <w:r w:rsidR="00CA7264">
        <w:t>Estimated abundance of Northern Pikeminnow in Deadwater Slough from three mark-recapture estimators for the fall surveys. Error bars indicate 95% confidence intervals.</w:t>
      </w:r>
    </w:p>
    <w:p w14:paraId="1F8F0DAF" w14:textId="76131044" w:rsidR="00B40F81" w:rsidRDefault="00C7224F">
      <w:pPr>
        <w:pStyle w:val="ImageCaption"/>
      </w:pPr>
      <w:r>
        <w:t>FIGURE 3.</w:t>
      </w:r>
      <w:r w:rsidR="00CA7264">
        <w:t xml:space="preserve"> Length frequency histogram of Northern Pikeminnow caught using hook-and-line angling during the study.</w:t>
      </w:r>
    </w:p>
    <w:p w14:paraId="089F4281" w14:textId="76707850" w:rsidR="00B40F81" w:rsidRDefault="00C7224F">
      <w:pPr>
        <w:pStyle w:val="ImageCaption"/>
      </w:pPr>
      <w:r>
        <w:t>FIGURE 4.</w:t>
      </w:r>
      <w:r w:rsidR="00CA7264">
        <w:t xml:space="preserve">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7373D72B" w14:textId="02DD3099" w:rsidR="00B40F81" w:rsidRDefault="00C7224F">
      <w:pPr>
        <w:pStyle w:val="ImageCaption"/>
      </w:pPr>
      <w:r>
        <w:t>FIGURE 5.</w:t>
      </w:r>
      <w:r w:rsidR="00CA7264">
        <w:t xml:space="preserve">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w:t>
      </w:r>
    </w:p>
    <w:p w14:paraId="70FEFD48" w14:textId="188DC718" w:rsidR="00B40F81" w:rsidRDefault="00C7224F">
      <w:pPr>
        <w:pStyle w:val="ImageCaption"/>
      </w:pPr>
      <w:r>
        <w:t>FIGURE 6.</w:t>
      </w:r>
      <w:r w:rsidR="00CA7264">
        <w:t xml:space="preserve"> Estimated reduction in the annual number of returning adult Chinook Salmon </w:t>
      </w:r>
      <w:proofErr w:type="gramStart"/>
      <w:r w:rsidR="00CA7264">
        <w:t>as a result of</w:t>
      </w:r>
      <w:proofErr w:type="gramEnd"/>
      <w:r w:rsidR="00CA7264">
        <w:t xml:space="preserve"> Northern Pikeminnow predation. Error bars indicate 95% confidence intervals.</w:t>
      </w:r>
    </w:p>
    <w:p w14:paraId="0147AF04" w14:textId="77777777" w:rsidR="00B40F81" w:rsidRDefault="00CA7264">
      <w:r>
        <w:br w:type="page"/>
      </w:r>
    </w:p>
    <w:p w14:paraId="3611E9AC" w14:textId="77777777" w:rsidR="00B40F81" w:rsidRDefault="00CA7264">
      <w:pPr>
        <w:pStyle w:val="Heading3"/>
      </w:pPr>
      <w:bookmarkStart w:id="81" w:name="colophon"/>
      <w:r>
        <w:lastRenderedPageBreak/>
        <w:t>Colophon</w:t>
      </w:r>
    </w:p>
    <w:p w14:paraId="683E2E52" w14:textId="77777777" w:rsidR="00B40F81" w:rsidRDefault="00CA7264">
      <w:pPr>
        <w:pStyle w:val="FirstParagraph"/>
      </w:pPr>
      <w:r>
        <w:t>This report was generated on 2022-04-12 15:23:58 using the following computational environment and dependencies:</w:t>
      </w:r>
    </w:p>
    <w:p w14:paraId="3483E5FE" w14:textId="77777777" w:rsidR="00B40F81" w:rsidRDefault="00CA7264">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2022-04-12</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p w14:paraId="431B11D2" w14:textId="77777777" w:rsidR="00B40F81" w:rsidRDefault="00CA7264">
      <w:r>
        <w:br w:type="page"/>
      </w:r>
    </w:p>
    <w:p w14:paraId="0087893F" w14:textId="77777777" w:rsidR="00B40F81" w:rsidRDefault="00CA7264">
      <w:pPr>
        <w:pStyle w:val="FirstParagraph"/>
      </w:pPr>
      <w:r>
        <w:lastRenderedPageBreak/>
        <w:t>The current Git commit details are:</w:t>
      </w:r>
    </w:p>
    <w:p w14:paraId="6AA8F533" w14:textId="77777777" w:rsidR="00B40F81" w:rsidRDefault="00CA7264">
      <w:pPr>
        <w:pStyle w:val="SourceCode"/>
      </w:pPr>
      <w:r>
        <w:rPr>
          <w:rStyle w:val="VerbatimChar"/>
        </w:rPr>
        <w:t>#&gt; Local:    main C:/Git/DeadwaterPaper</w:t>
      </w:r>
      <w:r>
        <w:br/>
      </w:r>
      <w:r>
        <w:rPr>
          <w:rStyle w:val="VerbatimChar"/>
        </w:rPr>
        <w:t>#&gt; Remote:   main @ origin (https://github.com/mackerman44/DeadwaterPaper.git)</w:t>
      </w:r>
      <w:r>
        <w:br/>
      </w:r>
      <w:r>
        <w:rPr>
          <w:rStyle w:val="VerbatimChar"/>
        </w:rPr>
        <w:t>#&gt; Head:     [2ce7ff4] 2022-04-12: crossing fingers, final edits before preparing for submission</w:t>
      </w:r>
    </w:p>
    <w:bookmarkEnd w:id="80"/>
    <w:bookmarkEnd w:id="81"/>
    <w:p w14:paraId="6ED39206" w14:textId="7622AA5D" w:rsidR="00B40F81" w:rsidRDefault="00B40F81"/>
    <w:sectPr w:rsidR="00B40F81" w:rsidSect="009029C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7438A" w14:textId="77777777" w:rsidR="001824D0" w:rsidRDefault="001824D0">
      <w:pPr>
        <w:spacing w:after="0" w:line="240" w:lineRule="auto"/>
      </w:pPr>
      <w:r>
        <w:separator/>
      </w:r>
    </w:p>
  </w:endnote>
  <w:endnote w:type="continuationSeparator" w:id="0">
    <w:p w14:paraId="525CAF4C" w14:textId="77777777" w:rsidR="001824D0" w:rsidRDefault="0018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62D7" w14:textId="77777777" w:rsidR="001824D0" w:rsidRDefault="001824D0">
      <w:r>
        <w:separator/>
      </w:r>
    </w:p>
  </w:footnote>
  <w:footnote w:type="continuationSeparator" w:id="0">
    <w:p w14:paraId="1ACE4028" w14:textId="77777777" w:rsidR="001824D0" w:rsidRDefault="001824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2E2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1A9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35512">
    <w:abstractNumId w:val="13"/>
  </w:num>
  <w:num w:numId="2" w16cid:durableId="503975115">
    <w:abstractNumId w:val="13"/>
  </w:num>
  <w:num w:numId="3" w16cid:durableId="546994884">
    <w:abstractNumId w:val="0"/>
  </w:num>
  <w:num w:numId="4" w16cid:durableId="1554195724">
    <w:abstractNumId w:val="1"/>
  </w:num>
  <w:num w:numId="5" w16cid:durableId="1037243408">
    <w:abstractNumId w:val="2"/>
  </w:num>
  <w:num w:numId="6" w16cid:durableId="892692027">
    <w:abstractNumId w:val="3"/>
  </w:num>
  <w:num w:numId="7" w16cid:durableId="833492247">
    <w:abstractNumId w:val="4"/>
  </w:num>
  <w:num w:numId="8" w16cid:durableId="1236085140">
    <w:abstractNumId w:val="9"/>
  </w:num>
  <w:num w:numId="9" w16cid:durableId="824051916">
    <w:abstractNumId w:val="5"/>
  </w:num>
  <w:num w:numId="10" w16cid:durableId="1719354482">
    <w:abstractNumId w:val="6"/>
  </w:num>
  <w:num w:numId="11" w16cid:durableId="1219786868">
    <w:abstractNumId w:val="7"/>
  </w:num>
  <w:num w:numId="12" w16cid:durableId="1368749714">
    <w:abstractNumId w:val="8"/>
  </w:num>
  <w:num w:numId="13" w16cid:durableId="2137409599">
    <w:abstractNumId w:val="10"/>
  </w:num>
  <w:num w:numId="14" w16cid:durableId="112329034">
    <w:abstractNumId w:val="11"/>
  </w:num>
  <w:num w:numId="15" w16cid:durableId="763644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0F81"/>
    <w:rsid w:val="00083663"/>
    <w:rsid w:val="000A36E2"/>
    <w:rsid w:val="000F094D"/>
    <w:rsid w:val="0012366B"/>
    <w:rsid w:val="001824D0"/>
    <w:rsid w:val="003C25E7"/>
    <w:rsid w:val="00470DA8"/>
    <w:rsid w:val="00477AA9"/>
    <w:rsid w:val="004861F7"/>
    <w:rsid w:val="004E06AD"/>
    <w:rsid w:val="00605ACD"/>
    <w:rsid w:val="00711654"/>
    <w:rsid w:val="0074404F"/>
    <w:rsid w:val="0079192B"/>
    <w:rsid w:val="0084189D"/>
    <w:rsid w:val="00942361"/>
    <w:rsid w:val="00B40F81"/>
    <w:rsid w:val="00C107F5"/>
    <w:rsid w:val="00C7224F"/>
    <w:rsid w:val="00CA7264"/>
    <w:rsid w:val="00EC44BC"/>
    <w:rsid w:val="00F648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5AD"/>
  <w15:docId w15:val="{5B6243DE-866B-4E82-9B14-1C2278F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9423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udobon.org/important-bird-areas/deadwater-slough" TargetMode="External"/><Relationship Id="rId4" Type="http://schemas.openxmlformats.org/officeDocument/2006/relationships/settings" Target="settings.xml"/><Relationship Id="rId9" Type="http://schemas.openxmlformats.org/officeDocument/2006/relationships/hyperlink" Target="mailto:mike.ackerman@mthoodenvironmen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E03D-76BB-4458-87CA-64DA101C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47</Pages>
  <Words>10427</Words>
  <Characters>59437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14</cp:revision>
  <dcterms:created xsi:type="dcterms:W3CDTF">2022-04-12T21:24:00Z</dcterms:created>
  <dcterms:modified xsi:type="dcterms:W3CDTF">2022-04-13T02:30:00Z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