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12</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a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thus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including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upstream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 Additionally, contents of livewells were examined during fish processing to ensure food items were not regurgitated.</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consisted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was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w:t>
      </w:r>
      <w:r>
        <w:t xml:space="preserve"> </w:t>
      </w:r>
      <w:r>
        <w:t xml:space="preserve">5</w:t>
      </w:r>
      <w:r>
        <w:t xml:space="preserve">). At the median value of 50%, we estimated that 61,409 (95% CI: 31,342 - 131,004) juvenile Chinook Salmon would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Percent Fish in Diet</w:t>
            </w:r>
          </w:p>
        </w:tc>
        <w:tc>
          <w:tcPr/>
          <w:p>
            <w:pPr>
              <w:pStyle w:val="Compact"/>
              <w:jc w:val="right"/>
            </w:pPr>
            <w:r>
              <w:t xml:space="preserve">g Fish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4: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ca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located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2022-04-12 12:53:44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2022-04-12</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[1c5063c] 2022-04-11: added folder of 20220407 drafts</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dcterms:created xsi:type="dcterms:W3CDTF">2022-04-12T18:53:47Z</dcterms:created>
  <dcterms:modified xsi:type="dcterms:W3CDTF">2022-04-12T18:53:47Z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