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Tagging</w:t>
      </w:r>
      <w:r>
        <w:t xml:space="preserve"> </w:t>
      </w:r>
      <w:r>
        <w:t xml:space="preserve">to</w:t>
      </w:r>
      <w:r>
        <w:t xml:space="preserve"> </w:t>
      </w:r>
      <w:r>
        <w:t xml:space="preserve">Estimate</w:t>
      </w:r>
      <w:r>
        <w:t xml:space="preserve"> </w:t>
      </w:r>
      <w:r>
        <w:t xml:space="preserve">pHOS</w:t>
      </w:r>
      <w:r>
        <w:t xml:space="preserve"> </w:t>
      </w:r>
      <w:r>
        <w:t xml:space="preserve">Using</w:t>
      </w:r>
      <w:r>
        <w:t xml:space="preserve"> </w:t>
      </w:r>
      <w:r>
        <w:t xml:space="preserve">IPTDS</w:t>
      </w:r>
      <w:r>
        <w:t xml:space="preserve"> </w:t>
      </w:r>
      <w:r>
        <w:t xml:space="preserve">Detections</w:t>
      </w:r>
    </w:p>
    <w:p>
      <w:pPr>
        <w:pStyle w:val="Date"/>
      </w:pPr>
      <w:r>
        <w:t xml:space="preserve">January</w:t>
      </w:r>
      <w:r>
        <w:t xml:space="preserve"> </w:t>
      </w:r>
      <w:r>
        <w:t xml:space="preserve">30,</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Dam Adult Branch Occupancy Model (DABOM) is currently used to estimate adult escapement of natural origin spring/summer Chinook salmon</w:t>
      </w:r>
      <w:r>
        <w:t xml:space="preserve"> </w:t>
      </w:r>
      <w:r>
        <w:rPr>
          <w:i/>
        </w:rPr>
        <w:t xml:space="preserve">Onchorhynchus tshawytscha</w:t>
      </w:r>
      <w:r>
        <w:t xml:space="preserve"> </w:t>
      </w:r>
      <w:r>
        <w:t xml:space="preserve">and steelhead</w:t>
      </w:r>
      <w:r>
        <w:t xml:space="preserve"> </w:t>
      </w:r>
      <w:r>
        <w:rPr>
          <w:i/>
        </w:rPr>
        <w:t xml:space="preserve">O. mykiss</w:t>
      </w:r>
      <w:r>
        <w:t xml:space="preserve"> </w:t>
      </w:r>
      <w:r>
        <w:t xml:space="preserve">into watersheds and populations of the Snake River Basin (SRB). Escapement estimates are made based on the tagging of a random sample of adults at Lower Granite Dam (LGR) and the subsequent detection of those adults at instream PIT tag detection systems (IPTDS) throughout the SRB. DABOM could also be used to generate estimates of hatchery escapement to various locations as well, which would be useful for estimating hatchery abundance in natural areas and the proportion of hatchery origin spawners (</w:t>
      </w:r>
      <w:r>
        <w:rPr>
          <w:i/>
        </w:rPr>
        <w:t xml:space="preserve">pHOS</w:t>
      </w:r>
      <w:r>
        <w:t xml:space="preserve">). Doing so, with reasonable precision, may require a random sample (or similar) of adult hatchery fish also be PIT tagged at LGR. Here, we wish to determine expected levels of precision for</w:t>
      </w:r>
      <w:r>
        <w:t xml:space="preserve"> </w:t>
      </w:r>
      <w:r>
        <w:rPr>
          <w:i/>
        </w:rPr>
        <w:t xml:space="preserve">pHOS</w:t>
      </w:r>
      <w:r>
        <w:t xml:space="preserve"> </w:t>
      </w:r>
      <w:r>
        <w:t xml:space="preserve">given current levels of PIT tagging in the SRB, and further, determine the additional tagging, expressed as a tagging rate or number of tags, required in hatchery adults at LGR to achieve unbiased estimates of hatchery escapement and</w:t>
      </w:r>
      <w:r>
        <w:t xml:space="preserve"> </w:t>
      </w:r>
      <w:r>
        <w:rPr>
          <w:i/>
        </w:rPr>
        <w:t xml:space="preserve">pHOS</w:t>
      </w:r>
      <w:r>
        <w:t xml:space="preserve"> </w:t>
      </w:r>
      <w:r>
        <w:t xml:space="preserve">with reasonable levels of precision (e.g., coefficient of variation [CV] of</w:t>
      </w:r>
      <w:r>
        <w:t xml:space="preserve"> </w:t>
      </w:r>
      <m:oMath>
        <m:r>
          <m:t>≤</m:t>
        </m:r>
      </m:oMath>
      <w:r>
        <w:t xml:space="preserve"> </w:t>
      </w:r>
      <w:r>
        <w:t xml:space="preserve">15%).</w:t>
      </w:r>
    </w:p>
    <w:p>
      <w:pPr>
        <w:pStyle w:val="BodyText"/>
      </w:pPr>
      <w:r>
        <w:t xml:space="preserve">Simultaneously estimating escapement of hatchery origin (HOR) and natural origin (NOR) adults to IPTDS locations throughout the SRB based on PIT tagging at LGR is a trivial extension of the DABOM model. Factually, the previous and existing instance of the DABOM model was developed for the upper Columbia River (upstream of Priest Rapids Dam), which capitalized on the same sampling assumptions applied to natural origin escapement past LGR. However, for multiple reasons (ergonomic limitations at LGR, political considerations, ethical concerns), the random sampling and PIT tagging of HOR adults (specifically ad-clipped adults) at LGR has been precluded. Notably, given trap operations at LGR, HOR adults are trapped, anesthetized, weighed, and measured at the same rate as NOR - a function of</w:t>
      </w:r>
      <w:r>
        <w:t xml:space="preserve"> </w:t>
      </w:r>
      <w:r>
        <w:t xml:space="preserve">“</w:t>
      </w:r>
      <w:r>
        <w:t xml:space="preserve">trap rate</w:t>
      </w:r>
      <w:r>
        <w:t xml:space="preserve">”</w:t>
      </w:r>
      <w:r>
        <w:t xml:space="preserve"> </w:t>
      </w:r>
      <w:r>
        <w:t xml:space="preserve">constituting a fraction of every hour wherein adults in the ladder are bypassed to the trap. Thus, it is arguable that implantation of a PIT tag constitutes a significantly greater offense to captured hatchery adults.</w:t>
      </w:r>
    </w:p>
    <w:p>
      <w:pPr>
        <w:pStyle w:val="BodyText"/>
      </w:pPr>
      <w:r>
        <w:t xml:space="preserve">Importantly, NOR and HOR refer to the origin of Chinook salmon or steelhead born in the natural or hatchery environment, respectively. Related, three phenotypic origins of adult Chinook salmon and steelhead are identified at LGR and include wild (W), hatchery ad-intact (HNC), and hatchery ad-clipped (H). NOR includes only W adults whereas HOR includes both the HNC and H groups despite HNC individuals often being phenotypically W. Currently, all ad-intact fish are systematically PIT tagged at LGR which includes both the W and HNC origins i.e., some HOR adults are currently tagged at LGR, but we need to consider differential tagging rates between HNC and H adults when evaluating the precision of</w:t>
      </w:r>
      <w:r>
        <w:t xml:space="preserve"> </w:t>
      </w:r>
      <w:r>
        <w:rPr>
          <w:i/>
        </w:rPr>
        <w:t xml:space="preserve">pHOS</w:t>
      </w:r>
      <w:r>
        <w:t xml:space="preserve"> </w:t>
      </w:r>
      <w:r>
        <w:t xml:space="preserve">given current levels of PIT tagging.</w:t>
      </w:r>
    </w:p>
    <w:p>
      <w:pPr>
        <w:pStyle w:val="BodyText"/>
      </w:pPr>
      <w:r>
        <w:t xml:space="preserve">Unbeknownst to the proposal for this evaluation, a condition of the Hatchery and Genetics Management Plan (HGMP) required the operation of IDFG HOR steelhead production to conduct a study on HOR contributions to NOR populations. Thusly, IDFG and NOAA Fisheries endeavored to compile and estimate straying of HOR steelhead upstream of LGR.</w:t>
      </w:r>
    </w:p>
    <w:p>
      <w:pPr>
        <w:pStyle w:val="BodyText"/>
      </w:pPr>
      <w:r>
        <w:t xml:space="preserve">This document seeks to begin collaboration between IDFG, NOAA Fisheries, and Biomark, Inc. to:</w:t>
      </w:r>
    </w:p>
    <w:p>
      <w:pPr>
        <w:pStyle w:val="Compact"/>
        <w:numPr>
          <w:numId w:val="1001"/>
          <w:ilvl w:val="0"/>
        </w:numPr>
      </w:pPr>
      <w:r>
        <w:t xml:space="preserve">Capitalize on existing progress on stray rates, and</w:t>
      </w:r>
    </w:p>
    <w:p>
      <w:pPr>
        <w:pStyle w:val="Compact"/>
        <w:numPr>
          <w:numId w:val="1001"/>
          <w:ilvl w:val="0"/>
        </w:numPr>
      </w:pPr>
      <w:r>
        <w:t xml:space="preserve">Advance statistical modeling to determine whether</w:t>
      </w:r>
      <w:r>
        <w:t xml:space="preserve"> </w:t>
      </w:r>
      <w:r>
        <w:rPr>
          <w:i/>
        </w:rPr>
        <w:t xml:space="preserve">pHOS</w:t>
      </w:r>
      <w:r>
        <w:t xml:space="preserve"> </w:t>
      </w:r>
      <w:r>
        <w:t xml:space="preserve">estimates can be reliably prosecuted by adult HOR PIT tagging at LGR.</w:t>
      </w:r>
    </w:p>
    <w:p>
      <w:pPr>
        <w:pStyle w:val="FirstParagraph"/>
      </w:pPr>
      <w:r>
        <w:t xml:space="preserve">In its developed form, the DABOM model includes escapement for NOR and HOR adult salmonids. Demonstrably, the DABOM is fully functional for multiple populations of spring/summer Chinook salmon and steelhead upstream of LGR. The performance of DABOM in the upper Columbia River (above Priest Rapids Dam) strongly suggests that the model can be reliably extended to HOR adults in the Snake River. Contents of this document, including findings, will be reported as part of a Final (Annual) Progress Report for Bonneville Power Administration (BPA) project 2019-006-00.</w:t>
      </w:r>
    </w:p>
    <w:p>
      <w:pPr>
        <w:pStyle w:val="Heading2"/>
      </w:pPr>
      <w:bookmarkStart w:id="22" w:name="objectives"/>
      <w:bookmarkEnd w:id="22"/>
      <w:r>
        <w:t xml:space="preserve">Objectives</w:t>
      </w:r>
    </w:p>
    <w:p>
      <w:pPr>
        <w:pStyle w:val="FirstParagraph"/>
      </w:pPr>
      <w:r>
        <w:t xml:space="preserve">This assessment aims to determine the number or tagging rate of HOR adults at LGR necessary to determine</w:t>
      </w:r>
      <w:r>
        <w:t xml:space="preserve"> </w:t>
      </w:r>
      <w:r>
        <w:rPr>
          <w:i/>
        </w:rPr>
        <w:t xml:space="preserve">pHOS</w:t>
      </w:r>
      <w:r>
        <w:t xml:space="preserve"> </w:t>
      </w:r>
      <w:r>
        <w:t xml:space="preserve">across watersheds or populations of SRB steelhead estimated by the DABOM model (and supported by the operation of IPTDS maintained and operated under BPA project 2018-002-00) and with</w:t>
      </w:r>
      <w:r>
        <w:t xml:space="preserve"> </w:t>
      </w:r>
      <w:r>
        <w:t xml:space="preserve">“</w:t>
      </w:r>
      <w:r>
        <w:t xml:space="preserve">reasonable</w:t>
      </w:r>
      <w:r>
        <w:t xml:space="preserve">”</w:t>
      </w:r>
      <w:r>
        <w:t xml:space="preserve"> </w:t>
      </w:r>
      <w:r>
        <w:t xml:space="preserve">uncertainty (e.g., CV</w:t>
      </w:r>
      <w:r>
        <w:t xml:space="preserve"> </w:t>
      </w:r>
      <m:oMath>
        <m:r>
          <m:t>≤</m:t>
        </m:r>
      </m:oMath>
      <w:r>
        <w:t xml:space="preserve"> </w:t>
      </w:r>
      <w:r>
        <w:t xml:space="preserve">15%). As a natural extension, we may also explore additional effort necessary to estimate</w:t>
      </w:r>
      <w:r>
        <w:t xml:space="preserve"> </w:t>
      </w:r>
      <w:r>
        <w:rPr>
          <w:i/>
        </w:rPr>
        <w:t xml:space="preserve">pHOS</w:t>
      </w:r>
      <w:r>
        <w:t xml:space="preserve"> </w:t>
      </w:r>
      <w:r>
        <w:t xml:space="preserve">in watersheds or populations of interest for Chinook salmon. Our objectives are as follows:</w:t>
      </w:r>
    </w:p>
    <w:p>
      <w:pPr>
        <w:pStyle w:val="Compact"/>
        <w:numPr>
          <w:numId w:val="1002"/>
          <w:ilvl w:val="0"/>
        </w:numPr>
      </w:pPr>
      <w:r>
        <w:t xml:space="preserve">Determined expected CVs for current estimates of</w:t>
      </w:r>
      <w:r>
        <w:t xml:space="preserve"> </w:t>
      </w:r>
      <w:r>
        <w:rPr>
          <w:i/>
        </w:rPr>
        <w:t xml:space="preserve">pHOS</w:t>
      </w:r>
      <w:r>
        <w:t xml:space="preserve"> </w:t>
      </w:r>
      <w:r>
        <w:t xml:space="preserve">that could be generated for locations or populations in the SRB given current levels of PIT tagging. Current tagging includes:</w:t>
      </w:r>
    </w:p>
    <w:p>
      <w:pPr>
        <w:pStyle w:val="Compact"/>
        <w:numPr>
          <w:numId w:val="1003"/>
          <w:ilvl w:val="0"/>
        </w:numPr>
      </w:pPr>
      <w:r>
        <w:t xml:space="preserve">1A. Individuals tagged within hatchery smolt releases, and</w:t>
      </w:r>
    </w:p>
    <w:p>
      <w:pPr>
        <w:pStyle w:val="Compact"/>
        <w:numPr>
          <w:numId w:val="1003"/>
          <w:ilvl w:val="0"/>
        </w:numPr>
      </w:pPr>
      <w:r>
        <w:t xml:space="preserve">1B. Ad-intact hatchery (HNC) adults that are systematically PIT tagged at LGR to evaluate abundance and composition at LGR (e.g.,</w:t>
      </w:r>
      <w:r>
        <w:t xml:space="preserve"> </w:t>
      </w:r>
      <w:r>
        <w:t xml:space="preserve">Camacho et al. (2017)</w:t>
      </w:r>
      <w:r>
        <w:t xml:space="preserve">) and at IPTDS (e.g.,</w:t>
      </w:r>
      <w:r>
        <w:t xml:space="preserve"> </w:t>
      </w:r>
      <w:r>
        <w:t xml:space="preserve">Orme and Kinzer (2018)</w:t>
      </w:r>
      <w:r>
        <w:t xml:space="preserve">).</w:t>
      </w:r>
    </w:p>
    <w:p>
      <w:pPr>
        <w:pStyle w:val="Compact"/>
        <w:numPr>
          <w:numId w:val="1004"/>
          <w:ilvl w:val="0"/>
        </w:numPr>
      </w:pPr>
      <w:r>
        <w:t xml:space="preserve">Determine additional tagging at LGR of ad-clipped adult HOR fish that would allow reasonable estimates of</w:t>
      </w:r>
      <w:r>
        <w:t xml:space="preserve"> </w:t>
      </w:r>
      <w:r>
        <w:rPr>
          <w:i/>
        </w:rPr>
        <w:t xml:space="preserve">pHOS</w:t>
      </w:r>
      <w:r>
        <w:t xml:space="preserve">.</w:t>
      </w:r>
    </w:p>
    <w:p>
      <w:pPr>
        <w:pStyle w:val="FirstParagraph"/>
      </w:pPr>
      <w:r>
        <w:t xml:space="preserve">Because</w:t>
      </w:r>
      <w:r>
        <w:t xml:space="preserve"> </w:t>
      </w:r>
      <w:r>
        <w:rPr>
          <w:i/>
        </w:rPr>
        <w:t xml:space="preserve">pHOS</w:t>
      </w:r>
      <w:r>
        <w:t xml:space="preserve"> </w:t>
      </w:r>
      <w:r>
        <w:t xml:space="preserve">is a proportion, defined between 0 and 1, we feel CV is not the appropriate way to measure the precision. When</w:t>
      </w:r>
      <w:r>
        <w:t xml:space="preserve"> </w:t>
      </w:r>
      <w:r>
        <w:rPr>
          <w:i/>
        </w:rPr>
        <w:t xml:space="preserve">pHOS</w:t>
      </w:r>
      <w:r>
        <w:t xml:space="preserve"> </w:t>
      </w:r>
      <w:r>
        <w:t xml:space="preserve">is near 0 or 1, by definition the standard error of</w:t>
      </w:r>
      <w:r>
        <w:t xml:space="preserve"> </w:t>
      </w:r>
      <w:r>
        <w:rPr>
          <w:i/>
        </w:rPr>
        <w:t xml:space="preserve">pHOS</w:t>
      </w:r>
      <w:r>
        <w:t xml:space="preserve"> </w:t>
      </w:r>
      <w:r>
        <w:t xml:space="preserve">will be small. However, if</w:t>
      </w:r>
      <w:r>
        <w:t xml:space="preserve"> </w:t>
      </w:r>
      <w:r>
        <w:rPr>
          <w:i/>
        </w:rPr>
        <w:t xml:space="preserve">pHOS</w:t>
      </w:r>
      <w:r>
        <w:t xml:space="preserve"> </w:t>
      </w:r>
      <w:r>
        <w:t xml:space="preserve">is also very small, the CV will be large, since we are dividing by a small number, even if the standard error is still quite small (and therefore reasonable). Therefore, we believe a better definition of</w:t>
      </w:r>
      <w:r>
        <w:t xml:space="preserve"> </w:t>
      </w:r>
      <w:r>
        <w:t xml:space="preserve">“</w:t>
      </w:r>
      <w:r>
        <w:t xml:space="preserve">precise estimate of pHOS</w:t>
      </w:r>
      <w:r>
        <w:t xml:space="preserve">”</w:t>
      </w:r>
      <w:r>
        <w:t xml:space="preserve"> </w:t>
      </w:r>
      <w:r>
        <w:t xml:space="preserve">would be to define a standard error threshold, rather than a CV threshold. We explored several standard error thresholds, and believe further discussion with management agencies is warranted to settle on one.</w:t>
      </w:r>
    </w:p>
    <w:p>
      <w:pPr>
        <w:pStyle w:val="Heading1"/>
      </w:pPr>
      <w:bookmarkStart w:id="23" w:name="methods"/>
      <w:bookmarkEnd w:id="23"/>
      <w:r>
        <w:t xml:space="preserve">Methods</w:t>
      </w:r>
    </w:p>
    <w:p>
      <w:pPr>
        <w:pStyle w:val="Heading3"/>
      </w:pPr>
      <w:bookmarkStart w:id="24" w:name="section-1.-expected-precision-of-phos-given-current-pit-tagging-of-hatchery-smolt-releases"/>
      <w:bookmarkEnd w:id="24"/>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Here, our aim is to evaluate the expected precision (CV) of</w:t>
      </w:r>
      <w:r>
        <w:t xml:space="preserve"> </w:t>
      </w:r>
      <w:r>
        <w:rPr>
          <w:i/>
        </w:rPr>
        <w:t xml:space="preserve">pHOS</w:t>
      </w:r>
      <w:r>
        <w:t xml:space="preserve"> </w:t>
      </w:r>
      <w:r>
        <w:t xml:space="preserve">using observations of individuals tagged within hatchery smolt releases and expansion values (inverse of tagging fraction) for those releases.</w:t>
      </w:r>
    </w:p>
    <w:p>
      <w:pPr>
        <w:pStyle w:val="BodyText"/>
      </w:pPr>
      <m:oMathPara>
        <m:oMathParaPr>
          <m:jc m:val="center"/>
        </m:oMathParaPr>
        <m:oMath>
          <m:groupChr>
            <m:groupChrPr>
              <m:chr m:val="^"/>
              <m:pos m:val="top"/>
              <m:vertJc m:val="bot"/>
            </m:groupChrPr>
            <m:e>
              <m:sSub>
                <m:e>
                  <m:r>
                    <m:t>N</m:t>
                  </m:r>
                </m:e>
                <m:sub>
                  <m:r>
                    <m:t>h</m:t>
                  </m:r>
                </m:sub>
              </m:sSub>
            </m:e>
          </m:groupChr>
          <m:r>
            <m:t>=</m:t>
          </m:r>
          <m:nary>
            <m:naryPr>
              <m:chr m:val="∑"/>
              <m:limLoc m:val="undOvr"/>
              <m:subHide m:val="0"/>
              <m:supHide m:val="0"/>
            </m:naryPr>
            <m:sub>
              <m:r>
                <m:t>r</m:t>
              </m:r>
              <m:r>
                <m:t>=</m:t>
              </m:r>
              <m:r>
                <m:t>1</m:t>
              </m:r>
            </m:sub>
            <m:sup>
              <m:r>
                <m:t>n</m:t>
              </m:r>
            </m:sup>
            <m:e>
              <m:sSub>
                <m:e>
                  <m:r>
                    <m:t>n</m:t>
                  </m:r>
                </m:e>
                <m:sub>
                  <m:r>
                    <m:t>r</m:t>
                  </m:r>
                </m:sub>
              </m:sSub>
            </m:e>
          </m:nary>
          <m:r>
            <m:t>*</m:t>
          </m:r>
          <m:sSub>
            <m:e>
              <m:r>
                <m:t>ψ</m:t>
              </m:r>
            </m:e>
            <m:sub>
              <m:r>
                <m:t>r</m:t>
              </m:r>
            </m:sub>
          </m:sSub>
        </m:oMath>
      </m:oMathPara>
    </w:p>
    <w:p>
      <w:pPr>
        <w:pStyle w:val="FirstParagraph"/>
      </w:pPr>
      <w:r>
        <w:t xml:space="preserve">where</w:t>
      </w:r>
      <w:r>
        <w:t xml:space="preserve"> </w:t>
      </w:r>
      <m:oMath>
        <m:groupChr>
          <m:groupChrPr>
            <m:chr m:val="^"/>
            <m:pos m:val="top"/>
            <m:vertJc m:val="bot"/>
          </m:groupChrPr>
          <m:e>
            <m:sSub>
              <m:e>
                <m:r>
                  <m:t>N</m:t>
                </m:r>
              </m:e>
              <m:sub>
                <m:r>
                  <m:t>h</m:t>
                </m:r>
              </m:sub>
            </m:sSub>
          </m:e>
        </m:groupChr>
      </m:oMath>
      <w:r>
        <w:t xml:space="preserve"> </w:t>
      </w:r>
      <w:r>
        <w:t xml:space="preserve">is the HOR abundance,</w:t>
      </w:r>
      <w:r>
        <w:t xml:space="preserve"> </w:t>
      </w:r>
      <m:oMath>
        <m:sSub>
          <m:e>
            <m:r>
              <m:t>n</m:t>
            </m:r>
          </m:e>
          <m:sub>
            <m:r>
              <m:t>r</m:t>
            </m:r>
          </m:sub>
        </m:sSub>
      </m:oMath>
      <w:r>
        <w:t xml:space="preserve"> </w:t>
      </w:r>
      <w:r>
        <w:t xml:space="preserve">is the number of observations of HOR individuals from release</w:t>
      </w:r>
      <w:r>
        <w:t xml:space="preserve"> </w:t>
      </w:r>
      <m:oMath>
        <m:r>
          <m:t>r</m:t>
        </m:r>
      </m:oMath>
      <w:r>
        <w:t xml:space="preserve"> </w:t>
      </w:r>
      <w:r>
        <w:t xml:space="preserve">and</w:t>
      </w:r>
      <w:r>
        <w:t xml:space="preserve"> </w:t>
      </w:r>
      <m:oMath>
        <m:sSub>
          <m:e>
            <m:r>
              <m:t>ψ</m:t>
            </m:r>
          </m:e>
          <m:sub>
            <m:r>
              <m:t>r</m:t>
            </m:r>
          </m:sub>
        </m:sSub>
      </m:oMath>
      <w:r>
        <w:t xml:space="preserve"> </w:t>
      </w:r>
      <w:r>
        <w:t xml:space="preserve">is the expansion value for release</w:t>
      </w:r>
      <w:r>
        <w:t xml:space="preserve"> </w:t>
      </w:r>
      <m:oMath>
        <m:r>
          <m:t>r</m:t>
        </m:r>
      </m:oMath>
      <w:r>
        <w:t xml:space="preserve">. HOR escapement to a given location can then be combined with estimates for NOR escapement from DABOM to estimate</w:t>
      </w:r>
      <w:r>
        <w:t xml:space="preserve"> </w:t>
      </w:r>
      <w:r>
        <w:rPr>
          <w:i/>
        </w:rPr>
        <w:t xml:space="preserve">pHOS</w:t>
      </w:r>
      <w:r>
        <w:t xml:space="preserve"> </w:t>
      </w:r>
      <w:r>
        <w:t xml:space="preserve">with uncertainty.</w:t>
      </w:r>
    </w:p>
    <w:p>
      <w:pPr>
        <w:pStyle w:val="BodyText"/>
      </w:pPr>
      <m:oMathPara>
        <m:oMathParaPr>
          <m:jc m:val="center"/>
        </m:oMathParaPr>
        <m:oMath>
          <m:sSub>
            <m:e>
              <m:r>
                <m:t>p</m:t>
              </m:r>
            </m:e>
            <m:sub>
              <m:r>
                <m:t>H</m:t>
              </m:r>
              <m:r>
                <m:t>O</m:t>
              </m:r>
              <m:r>
                <m:t>S</m:t>
              </m:r>
            </m:sub>
          </m:sSub>
          <m:r>
            <m:t>=</m:t>
          </m:r>
          <m:f>
            <m:fPr>
              <m:type m:val="bar"/>
            </m:fPr>
            <m:num>
              <m:groupChr>
                <m:groupChrPr>
                  <m:chr m:val="^"/>
                  <m:pos m:val="top"/>
                  <m:vertJc m:val="bot"/>
                </m:groupChrPr>
                <m:e>
                  <m:sSub>
                    <m:e>
                      <m:r>
                        <m:t>N</m:t>
                      </m:r>
                    </m:e>
                    <m:sub>
                      <m:r>
                        <m:t>h</m:t>
                      </m:r>
                    </m:sub>
                  </m:sSub>
                </m:e>
              </m:groupChr>
            </m:num>
            <m:den>
              <m:groupChr>
                <m:groupChrPr>
                  <m:chr m:val="^"/>
                  <m:pos m:val="top"/>
                  <m:vertJc m:val="bot"/>
                </m:groupChrPr>
                <m:e>
                  <m:sSub>
                    <m:e>
                      <m:r>
                        <m:t>N</m:t>
                      </m:r>
                    </m:e>
                    <m:sub>
                      <m:r>
                        <m:t>h</m:t>
                      </m:r>
                    </m:sub>
                  </m:sSub>
                </m:e>
              </m:groupChr>
              <m:r>
                <m:t>+</m:t>
              </m:r>
              <m:groupChr>
                <m:groupChrPr>
                  <m:chr m:val="^"/>
                  <m:pos m:val="top"/>
                  <m:vertJc m:val="bot"/>
                </m:groupChrPr>
                <m:e>
                  <m:sSub>
                    <m:e>
                      <m:r>
                        <m:t>N</m:t>
                      </m:r>
                    </m:e>
                    <m:sub>
                      <m:r>
                        <m:t>n</m:t>
                      </m:r>
                    </m:sub>
                  </m:sSub>
                </m:e>
              </m:groupChr>
            </m:den>
          </m:f>
        </m:oMath>
      </m:oMathPara>
    </w:p>
    <w:p>
      <w:pPr>
        <w:pStyle w:val="FirstParagraph"/>
      </w:pPr>
      <w:r>
        <w:t xml:space="preserve">where</w:t>
      </w:r>
      <w:r>
        <w:t xml:space="preserve"> </w:t>
      </w:r>
      <m:oMath>
        <m:groupChr>
          <m:groupChrPr>
            <m:chr m:val="^"/>
            <m:pos m:val="top"/>
            <m:vertJc m:val="bot"/>
          </m:groupChrPr>
          <m:e>
            <m:sSub>
              <m:e>
                <m:r>
                  <m:t>N</m:t>
                </m:r>
              </m:e>
              <m:sub>
                <m:r>
                  <m:t>n</m:t>
                </m:r>
              </m:sub>
            </m:sSub>
          </m:e>
        </m:groupChr>
      </m:oMath>
      <w:r>
        <w:t xml:space="preserve"> </w:t>
      </w:r>
      <w:r>
        <w:t xml:space="preserve">is the NOR abundance. Importantly, DABOM requires a random sample of tagged individuals (e.g., at the adult trap), and thus, we cannot generate abundance estimates in the DABOM model using juvenile tagging; hence, the tag expansion approach. In other words, we need to expand the number of hatchery observations from each release group by the tagging fraction for that release groups and then sum across groups, and further, account for the detection probability of IPTDS sites within a location. Note that in this scenario we don’t need to account for differential survival among groups; we are only interested in tagging fractions within groups as long as we are willing to assume equal survival between tagged and untagged smolts.</w:t>
      </w:r>
    </w:p>
    <w:p>
      <w:pPr>
        <w:pStyle w:val="Heading4"/>
      </w:pPr>
      <w:bookmarkStart w:id="25" w:name="approach"/>
      <w:bookmarkEnd w:id="25"/>
      <w:r>
        <w:t xml:space="preserve">Approach</w:t>
      </w:r>
    </w:p>
    <w:p>
      <w:pPr>
        <w:pStyle w:val="FirstParagraph"/>
      </w:pPr>
      <w:r>
        <w:t xml:space="preserve">The IDFG provided us with tagging fraction (i.e., expansion factor) information by brood year (BY), rearing hatchery, and mark type (H vs. HNC) for steelhead hatchery releases within Idaho from BY2013-2018. In addition, we have interrogation data and abundance estimates for wild steelhead populations available through spawn year (SY) 2019. Hatchery steelhead in Idaho are always released and emigrate to the ocean as 1 year olds. Using SY2019 hatchery adults as an example, those adults would have entered the Columbia River to initiate their spawning run during summer 2018; and thus 1-ocean adults would have emigrated to the ocean in 2017 (hence BY2016) and 2-ocean adults would have emigrated in 2016 (BY2015). Following this logic, we can consider the following BY smolt releases for each adult SY:</w:t>
      </w:r>
    </w:p>
    <w:p>
      <w:pPr>
        <w:pStyle w:val="Compact"/>
        <w:numPr>
          <w:numId w:val="1005"/>
          <w:ilvl w:val="0"/>
        </w:numPr>
      </w:pPr>
      <w:r>
        <w:t xml:space="preserve">SY2019: 1-ocean = BY2016, 2-ocean = BY2015</w:t>
      </w:r>
    </w:p>
    <w:p>
      <w:pPr>
        <w:pStyle w:val="Compact"/>
        <w:numPr>
          <w:numId w:val="1005"/>
          <w:ilvl w:val="0"/>
        </w:numPr>
      </w:pPr>
      <w:r>
        <w:t xml:space="preserve">SY2018: 1-ocean = BY2015, 2-ocean = BY2014</w:t>
      </w:r>
    </w:p>
    <w:p>
      <w:pPr>
        <w:pStyle w:val="Compact"/>
        <w:numPr>
          <w:numId w:val="1005"/>
          <w:ilvl w:val="0"/>
        </w:numPr>
      </w:pPr>
      <w:r>
        <w:t xml:space="preserve">SY2017: 1-ocean = BY2014, 2-ocean = BY2013</w:t>
      </w:r>
    </w:p>
    <w:p>
      <w:pPr>
        <w:pStyle w:val="FirstParagraph"/>
      </w:pPr>
      <w:r>
        <w:t xml:space="preserve">And thus, the earliest SY we can consider is 2017 as their 2-ocean adults originate from BY2013.</w:t>
      </w:r>
    </w:p>
    <w:p>
      <w:pPr>
        <w:pStyle w:val="Heading5"/>
      </w:pPr>
      <w:bookmarkStart w:id="26" w:name="locations"/>
      <w:bookmarkEnd w:id="26"/>
      <w:r>
        <w:t xml:space="preserve">Locations</w:t>
      </w:r>
    </w:p>
    <w:p>
      <w:pPr>
        <w:pStyle w:val="FirstParagraph"/>
      </w:pPr>
      <w:r>
        <w:t xml:space="preserve">A recent assessment by See et al. (2019) identified steelhead TRT populations or locations containing IPTDS that can be used to estimate wild population abundance. We then performed a PTAGIS query for locations evaluated there, and in addition, queried for hatchery adult observations in the Lochsa, Selway, and North Fork Salmon rivers (areas with particular management interest where IPTDS have recently been installed) from smolt releases. Table 1 summarizes TRT populations and interrogation sites for which we queried observations of hatchery adults during SY2017-2019. The following constraints were placed on our PTAGIS query:</w:t>
      </w:r>
    </w:p>
    <w:p>
      <w:pPr>
        <w:pStyle w:val="Compact"/>
        <w:numPr>
          <w:numId w:val="1006"/>
          <w:ilvl w:val="0"/>
        </w:numPr>
      </w:pPr>
      <w:r>
        <w:t xml:space="preserve">Species: Steelhead</w:t>
      </w:r>
    </w:p>
    <w:p>
      <w:pPr>
        <w:pStyle w:val="Compact"/>
        <w:numPr>
          <w:numId w:val="1006"/>
          <w:ilvl w:val="0"/>
        </w:numPr>
      </w:pPr>
      <w:r>
        <w:t xml:space="preserve">Rear: Hatchery</w:t>
      </w:r>
    </w:p>
    <w:p>
      <w:pPr>
        <w:pStyle w:val="Compact"/>
        <w:numPr>
          <w:numId w:val="1006"/>
          <w:ilvl w:val="0"/>
        </w:numPr>
      </w:pPr>
      <w:r>
        <w:t xml:space="preserve">Last Obs Date/Time: 07/01/2017 - 06/30/2019</w:t>
      </w:r>
    </w:p>
    <w:p>
      <w:pPr>
        <w:pStyle w:val="Compact"/>
        <w:numPr>
          <w:numId w:val="1006"/>
          <w:ilvl w:val="0"/>
        </w:numPr>
      </w:pPr>
      <w:r>
        <w:t xml:space="preserve">Obs Site: In Table 1</w:t>
      </w:r>
    </w:p>
    <w:p>
      <w:pPr>
        <w:pStyle w:val="FirstParagraph"/>
      </w:pPr>
      <w:r>
        <w:t xml:space="preserve">Table 1: Steelhead TRT populations and interrogation sites for which we queried interrogation of hatchery adults during spawn years 2017-2019.</w:t>
      </w:r>
    </w:p>
    <w:tbl>
      <w:tblPr>
        <w:tblStyle w:val="TableNormal"/>
        <w:tblW w:type="pct" w:w="4930.555555555556"/>
        <w:tblLook w:firstRow="1"/>
      </w:tblPr>
      <w:tblGrid>
        <w:gridCol w:w="1100"/>
        <w:gridCol w:w="3300"/>
        <w:gridCol w:w="341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SiteID</w:t>
            </w:r>
          </w:p>
        </w:tc>
      </w:tr>
      <w:tr>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CLC, HLM, JUL, KHS, LAP, MIS,</w:t>
            </w:r>
            <w:r>
              <w:t xml:space="preserve"> </w:t>
            </w:r>
            <w:r>
              <w:t xml:space="preserve">PCM, SWT, WEB</w:t>
            </w:r>
          </w:p>
        </w:tc>
      </w:tr>
      <w:tr>
        <w:tc>
          <w:p>
            <w:pPr>
              <w:pStyle w:val="Compact"/>
              <w:jc w:val="center"/>
            </w:pPr>
            <w:r>
              <w:t xml:space="preserve">CRLOC-s</w:t>
            </w:r>
          </w:p>
        </w:tc>
        <w:tc>
          <w:p>
            <w:pPr>
              <w:pStyle w:val="Compact"/>
              <w:jc w:val="center"/>
            </w:pPr>
            <w:r>
              <w:t xml:space="preserve">Lochsa River</w:t>
            </w:r>
          </w:p>
        </w:tc>
        <w:tc>
          <w:p>
            <w:pPr>
              <w:pStyle w:val="Compact"/>
              <w:jc w:val="center"/>
            </w:pPr>
            <w:r>
              <w:t xml:space="preserve">LRL, LRU</w:t>
            </w:r>
          </w:p>
        </w:tc>
      </w:tr>
      <w:tr>
        <w:tc>
          <w:p>
            <w:pPr>
              <w:pStyle w:val="Compact"/>
              <w:jc w:val="center"/>
            </w:pPr>
            <w:r>
              <w:t xml:space="preserve">CRLOL-s</w:t>
            </w:r>
          </w:p>
        </w:tc>
        <w:tc>
          <w:p>
            <w:pPr>
              <w:pStyle w:val="Compact"/>
              <w:jc w:val="center"/>
            </w:pPr>
            <w:r>
              <w:t xml:space="preserve">Lolo Creek</w:t>
            </w:r>
          </w:p>
        </w:tc>
        <w:tc>
          <w:p>
            <w:pPr>
              <w:pStyle w:val="Compact"/>
              <w:jc w:val="center"/>
            </w:pPr>
            <w:r>
              <w:t xml:space="preserve">LC1, LC2</w:t>
            </w:r>
          </w:p>
        </w:tc>
      </w:tr>
      <w:tr>
        <w:tc>
          <w:p>
            <w:pPr>
              <w:pStyle w:val="Compact"/>
              <w:jc w:val="center"/>
            </w:pPr>
            <w:r>
              <w:t xml:space="preserve">CRSEL-s</w:t>
            </w:r>
          </w:p>
        </w:tc>
        <w:tc>
          <w:p>
            <w:pPr>
              <w:pStyle w:val="Compact"/>
              <w:jc w:val="center"/>
            </w:pPr>
            <w:r>
              <w:t xml:space="preserve">Selway River</w:t>
            </w:r>
          </w:p>
        </w:tc>
        <w:tc>
          <w:p>
            <w:pPr>
              <w:pStyle w:val="Compact"/>
              <w:jc w:val="center"/>
            </w:pPr>
            <w:r>
              <w:t xml:space="preserve">SW1, SW2</w:t>
            </w:r>
          </w:p>
        </w:tc>
      </w:tr>
      <w:tr>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CRT, RRT, SC1, SC2</w:t>
            </w:r>
          </w:p>
        </w:tc>
      </w:tr>
      <w:tr>
        <w:tc>
          <w:p>
            <w:pPr>
              <w:pStyle w:val="Compact"/>
              <w:jc w:val="center"/>
            </w:pPr>
            <w:r>
              <w:t xml:space="preserve">GRJOS-s</w:t>
            </w:r>
          </w:p>
        </w:tc>
        <w:tc>
          <w:p>
            <w:pPr>
              <w:pStyle w:val="Compact"/>
              <w:jc w:val="center"/>
            </w:pPr>
            <w:r>
              <w:t xml:space="preserve">Joseph Creek</w:t>
            </w:r>
          </w:p>
        </w:tc>
        <w:tc>
          <w:p>
            <w:pPr>
              <w:pStyle w:val="Compact"/>
              <w:jc w:val="center"/>
            </w:pPr>
            <w:r>
              <w:t xml:space="preserve">JOC</w:t>
            </w:r>
          </w:p>
        </w:tc>
      </w:tr>
      <w:tr>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WEN</w:t>
            </w:r>
          </w:p>
        </w:tc>
      </w:tr>
      <w:tr>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CCW, UGR, UGS</w:t>
            </w:r>
          </w:p>
        </w:tc>
      </w:tr>
      <w:tr>
        <w:tc>
          <w:p>
            <w:pPr>
              <w:pStyle w:val="Compact"/>
              <w:jc w:val="center"/>
            </w:pPr>
            <w:r>
              <w:t xml:space="preserve">GRWAL-s</w:t>
            </w:r>
          </w:p>
        </w:tc>
        <w:tc>
          <w:p>
            <w:pPr>
              <w:pStyle w:val="Compact"/>
              <w:jc w:val="center"/>
            </w:pPr>
            <w:r>
              <w:t xml:space="preserve">Wallowa River</w:t>
            </w:r>
          </w:p>
        </w:tc>
        <w:tc>
          <w:p>
            <w:pPr>
              <w:pStyle w:val="Compact"/>
              <w:jc w:val="center"/>
            </w:pPr>
            <w:r>
              <w:t xml:space="preserve">WR1, WR2</w:t>
            </w:r>
          </w:p>
        </w:tc>
      </w:tr>
      <w:tr>
        <w:tc>
          <w:p>
            <w:pPr>
              <w:pStyle w:val="Compact"/>
              <w:jc w:val="center"/>
            </w:pPr>
            <w:r>
              <w:t xml:space="preserve">IRMAI-s</w:t>
            </w:r>
          </w:p>
        </w:tc>
        <w:tc>
          <w:p>
            <w:pPr>
              <w:pStyle w:val="Compact"/>
              <w:jc w:val="center"/>
            </w:pPr>
            <w:r>
              <w:t xml:space="preserve">Imnaha River</w:t>
            </w:r>
          </w:p>
        </w:tc>
        <w:tc>
          <w:p>
            <w:pPr>
              <w:pStyle w:val="Compact"/>
              <w:jc w:val="center"/>
            </w:pPr>
            <w:r>
              <w:t xml:space="preserve">BSC, CMP, COC, CZY, IML, IR1,</w:t>
            </w:r>
            <w:r>
              <w:t xml:space="preserve"> </w:t>
            </w:r>
            <w:r>
              <w:t xml:space="preserve">IR2, IR3, IR4, IR5</w:t>
            </w:r>
          </w:p>
        </w:tc>
      </w:tr>
      <w:tr>
        <w:tc>
          <w:p>
            <w:pPr>
              <w:pStyle w:val="Compact"/>
              <w:jc w:val="center"/>
            </w:pPr>
            <w:r>
              <w:t xml:space="preserve">MFBIG-s</w:t>
            </w:r>
          </w:p>
        </w:tc>
        <w:tc>
          <w:p>
            <w:pPr>
              <w:pStyle w:val="Compact"/>
              <w:jc w:val="center"/>
            </w:pPr>
            <w:r>
              <w:t xml:space="preserve">Big, Camas, and Loon Creek</w:t>
            </w:r>
          </w:p>
        </w:tc>
        <w:tc>
          <w:p>
            <w:pPr>
              <w:pStyle w:val="Compact"/>
              <w:jc w:val="center"/>
            </w:pPr>
            <w:r>
              <w:t xml:space="preserve">TAY</w:t>
            </w:r>
          </w:p>
        </w:tc>
      </w:tr>
      <w:tr>
        <w:tc>
          <w:p>
            <w:pPr>
              <w:pStyle w:val="Compact"/>
              <w:jc w:val="center"/>
            </w:pPr>
            <w:r>
              <w:t xml:space="preserve">SFMAI-s</w:t>
            </w:r>
          </w:p>
        </w:tc>
        <w:tc>
          <w:p>
            <w:pPr>
              <w:pStyle w:val="Compact"/>
              <w:jc w:val="center"/>
            </w:pPr>
            <w:r>
              <w:t xml:space="preserve">South Fork Salmon River</w:t>
            </w:r>
          </w:p>
        </w:tc>
        <w:tc>
          <w:p>
            <w:pPr>
              <w:pStyle w:val="Compact"/>
              <w:jc w:val="center"/>
            </w:pPr>
            <w:r>
              <w:t xml:space="preserve">ESS, KRS, STR, YPP</w:t>
            </w:r>
          </w:p>
        </w:tc>
      </w:tr>
      <w:tr>
        <w:tc>
          <w:p>
            <w:pPr>
              <w:pStyle w:val="Compact"/>
              <w:jc w:val="center"/>
            </w:pPr>
            <w:r>
              <w:t xml:space="preserve">SFSEC-s</w:t>
            </w:r>
          </w:p>
        </w:tc>
        <w:tc>
          <w:p>
            <w:pPr>
              <w:pStyle w:val="Compact"/>
              <w:jc w:val="center"/>
            </w:pPr>
            <w:r>
              <w:t xml:space="preserve">Secesh River</w:t>
            </w:r>
          </w:p>
        </w:tc>
        <w:tc>
          <w:p>
            <w:pPr>
              <w:pStyle w:val="Compact"/>
              <w:jc w:val="center"/>
            </w:pPr>
            <w:r>
              <w:t xml:space="preserve">ZEN</w:t>
            </w:r>
          </w:p>
        </w:tc>
      </w:tr>
      <w:tr>
        <w:tc>
          <w:p>
            <w:pPr>
              <w:pStyle w:val="Compact"/>
              <w:jc w:val="center"/>
            </w:pPr>
            <w:r>
              <w:t xml:space="preserve">SNASO-s</w:t>
            </w:r>
          </w:p>
        </w:tc>
        <w:tc>
          <w:p>
            <w:pPr>
              <w:pStyle w:val="Compact"/>
              <w:jc w:val="center"/>
            </w:pPr>
            <w:r>
              <w:t xml:space="preserve">Asotin Creek</w:t>
            </w:r>
          </w:p>
        </w:tc>
        <w:tc>
          <w:p>
            <w:pPr>
              <w:pStyle w:val="Compact"/>
              <w:jc w:val="center"/>
            </w:pPr>
            <w:r>
              <w:t xml:space="preserve">ACB, ACM, AFC, CCA</w:t>
            </w:r>
          </w:p>
        </w:tc>
      </w:tr>
      <w:tr>
        <w:tc>
          <w:p>
            <w:pPr>
              <w:pStyle w:val="Compact"/>
              <w:jc w:val="center"/>
            </w:pPr>
            <w:r>
              <w:t xml:space="preserve">SRLEM-s</w:t>
            </w:r>
          </w:p>
        </w:tc>
        <w:tc>
          <w:p>
            <w:pPr>
              <w:pStyle w:val="Compact"/>
              <w:jc w:val="center"/>
            </w:pPr>
            <w:r>
              <w:t xml:space="preserve">Lemhi River</w:t>
            </w:r>
          </w:p>
        </w:tc>
        <w:tc>
          <w:p>
            <w:pPr>
              <w:pStyle w:val="Compact"/>
              <w:jc w:val="center"/>
            </w:pPr>
            <w:r>
              <w:t xml:space="preserve">18M, AGC, BHC, BTL, BTM, BTU,</w:t>
            </w:r>
            <w:r>
              <w:t xml:space="preserve"> </w:t>
            </w:r>
            <w:r>
              <w:t xml:space="preserve">CAC, CRC, HEC, HYC, KEN, LB8,</w:t>
            </w:r>
            <w:r>
              <w:t xml:space="preserve"> </w:t>
            </w:r>
            <w:r>
              <w:t xml:space="preserve">LBS, LCL, LLR, LLS, LRW, WPC</w:t>
            </w:r>
          </w:p>
        </w:tc>
      </w:tr>
      <w:tr>
        <w:tc>
          <w:p>
            <w:pPr>
              <w:pStyle w:val="Compact"/>
              <w:jc w:val="center"/>
            </w:pPr>
            <w:r>
              <w:t xml:space="preserve">SRNFS-s</w:t>
            </w:r>
          </w:p>
        </w:tc>
        <w:tc>
          <w:p>
            <w:pPr>
              <w:pStyle w:val="Compact"/>
              <w:jc w:val="center"/>
            </w:pPr>
            <w:r>
              <w:t xml:space="preserve">North Fork Salmon River</w:t>
            </w:r>
          </w:p>
        </w:tc>
        <w:tc>
          <w:p>
            <w:pPr>
              <w:pStyle w:val="Compact"/>
              <w:jc w:val="center"/>
            </w:pPr>
            <w:r>
              <w:t xml:space="preserve">NFS</w:t>
            </w:r>
          </w:p>
        </w:tc>
      </w:tr>
      <w:tr>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RFL, STL, VC1, VC2, YFK</w:t>
            </w:r>
          </w:p>
        </w:tc>
      </w:tr>
    </w:tbl>
    <w:p>
      <w:pPr>
        <w:pStyle w:val="BodyText"/>
      </w:pPr>
      <w:r>
        <w:t xml:space="preserve">Next, we filtered the above results from the PTAGIS query to only include the following observations:</w:t>
      </w:r>
    </w:p>
    <w:p>
      <w:pPr>
        <w:pStyle w:val="Compact"/>
        <w:numPr>
          <w:numId w:val="1007"/>
          <w:ilvl w:val="0"/>
        </w:numPr>
      </w:pPr>
      <w:r>
        <w:t xml:space="preserve">Mark Site Code Value: From Snake River hatcheries for which we have tagging fraction data for BY2013-2018 (i.e., CLWH, DWOR, HAGE, MAVA, NISP).</w:t>
      </w:r>
    </w:p>
    <w:p>
      <w:pPr>
        <w:pStyle w:val="Compact"/>
        <w:numPr>
          <w:numId w:val="1007"/>
          <w:ilvl w:val="0"/>
        </w:numPr>
      </w:pPr>
      <w:r>
        <w:t xml:space="preserve">Mark Year: Excluded marks that occurred prior to 2013. This includes filtering</w:t>
      </w:r>
      <w:r>
        <w:t xml:space="preserve"> </w:t>
      </w:r>
      <w:r>
        <w:t xml:space="preserve">“</w:t>
      </w:r>
      <w:r>
        <w:t xml:space="preserve">orphan</w:t>
      </w:r>
      <w:r>
        <w:t xml:space="preserve">”</w:t>
      </w:r>
      <w:r>
        <w:t xml:space="preserve"> </w:t>
      </w:r>
      <w:r>
        <w:t xml:space="preserve">tags.</w:t>
      </w:r>
    </w:p>
    <w:p>
      <w:pPr>
        <w:pStyle w:val="Compact"/>
        <w:numPr>
          <w:numId w:val="1007"/>
          <w:ilvl w:val="0"/>
        </w:numPr>
      </w:pPr>
      <w:r>
        <w:t xml:space="preserve">Last Obs Time - Mark Year &lt; 1: In many cases, the mark year was less than 1 year prior to the final IPTDS observation. These observations are presumably from hatchery smolt releases and were removed.</w:t>
      </w:r>
    </w:p>
    <w:p>
      <w:pPr>
        <w:pStyle w:val="Compact"/>
        <w:numPr>
          <w:numId w:val="1007"/>
          <w:ilvl w:val="0"/>
        </w:numPr>
      </w:pPr>
      <w:r>
        <w:t xml:space="preserve">Spawn Year - Brood Year = 3 or 4: Returning adult hatchery steelhead should be 3 (</w:t>
      </w:r>
      <w:r>
        <w:t xml:space="preserve">‘</w:t>
      </w:r>
      <w:r>
        <w:t xml:space="preserve">A-run</w:t>
      </w:r>
      <w:r>
        <w:t xml:space="preserve">’</w:t>
      </w:r>
      <w:r>
        <w:t xml:space="preserve">) or 4 (</w:t>
      </w:r>
      <w:r>
        <w:t xml:space="preserve">‘</w:t>
      </w:r>
      <w:r>
        <w:t xml:space="preserve">B-run</w:t>
      </w:r>
      <w:r>
        <w:t xml:space="preserve">’</w:t>
      </w:r>
      <w:r>
        <w:t xml:space="preserve">) years old. We excluded any observations where this was not the case.</w:t>
      </w:r>
    </w:p>
    <w:p>
      <w:pPr>
        <w:pStyle w:val="FirstParagraph"/>
      </w:pPr>
      <w:r>
        <w:t xml:space="preserve">And finally, for each observation, personnel from the IDFG identified whether each tag was from an RAL or RTR release, and for RAL fish, the appropriate expansion value. RTR observations were ignored. Descriptions of RTR vs. RAL are as follows:</w:t>
      </w:r>
    </w:p>
    <w:p>
      <w:pPr>
        <w:pStyle w:val="Compact"/>
        <w:numPr>
          <w:numId w:val="1008"/>
          <w:ilvl w:val="0"/>
        </w:numPr>
      </w:pPr>
      <w:r>
        <w:t xml:space="preserve">RTR (</w:t>
      </w:r>
      <w:r>
        <w:t xml:space="preserve">“</w:t>
      </w:r>
      <w:r>
        <w:t xml:space="preserve">Return-to-River</w:t>
      </w:r>
      <w:r>
        <w:t xml:space="preserve">”</w:t>
      </w:r>
      <w:r>
        <w:t xml:space="preserve">): A sort-by-code designation for smolts that will automatically be returned to the river when detected at a dam, when other fish may be getting transported. They do not represent the release group at-large, therefore represent only themselves with an expansion value of</w:t>
      </w:r>
      <w:r>
        <w:t xml:space="preserve"> </w:t>
      </w:r>
      <w:r>
        <w:t xml:space="preserve">“</w:t>
      </w:r>
      <w:r>
        <w:t xml:space="preserve">1</w:t>
      </w:r>
      <w:r>
        <w:t xml:space="preserve">”</w:t>
      </w:r>
      <w:r>
        <w:t xml:space="preserve">.</w:t>
      </w:r>
    </w:p>
    <w:p>
      <w:pPr>
        <w:pStyle w:val="Compact"/>
        <w:numPr>
          <w:numId w:val="1008"/>
          <w:ilvl w:val="0"/>
        </w:numPr>
      </w:pPr>
      <w:r>
        <w:t xml:space="preserve">RAL (</w:t>
      </w:r>
      <w:r>
        <w:t xml:space="preserve">“</w:t>
      </w:r>
      <w:r>
        <w:t xml:space="preserve">Run-at-Large</w:t>
      </w:r>
      <w:r>
        <w:t xml:space="preserve">”</w:t>
      </w:r>
      <w:r>
        <w:t xml:space="preserve">): A sort-by-code designation for smolts that will be transported or returned to the river in accordance with the protocol at the dam when they are detected. They represent the release group with a tagging rate that excludes any smolts that have an RTR tag in them. The expansion value of RAL tagged fish is the inverse of the tag rate.</w:t>
      </w:r>
    </w:p>
    <w:p>
      <w:pPr>
        <w:pStyle w:val="FirstParagraph"/>
      </w:pPr>
      <w:r>
        <w:t xml:space="preserve">Table 2 shows the number of RTR observations from hatchery smolt releases by TRT population, spawn year, and rearing hatchery in our final dataset. Observations were then expanded and compared to wild spawner abundance in those locations to estimate</w:t>
      </w:r>
      <w:r>
        <w:t xml:space="preserve"> </w:t>
      </w:r>
      <w:r>
        <w:rPr>
          <w:i/>
        </w:rPr>
        <w:t xml:space="preserve">pHOS</w:t>
      </w:r>
      <w:r>
        <w:t xml:space="preserve">.</w:t>
      </w:r>
    </w:p>
    <w:p>
      <w:pPr>
        <w:pStyle w:val="Compact"/>
      </w:pPr>
      <w:r>
        <w:t xml:space="preserve">Table 2: The number of observations of adult hatchery steelhead by location, spawn year, and mark site.</w:t>
      </w:r>
    </w:p>
    <w:tbl>
      <w:tblPr>
        <w:tblStyle w:val="TableNormal"/>
        <w:tblW w:type="pct" w:w="4513.888888888889"/>
        <w:tblLook w:firstRow="1"/>
      </w:tblPr>
      <w:tblGrid>
        <w:gridCol w:w="1100"/>
        <w:gridCol w:w="1430"/>
        <w:gridCol w:w="770"/>
        <w:gridCol w:w="770"/>
        <w:gridCol w:w="770"/>
        <w:gridCol w:w="770"/>
        <w:gridCol w:w="770"/>
        <w:gridCol w:w="77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Total</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w:t>
            </w:r>
          </w:p>
        </w:tc>
        <w:tc>
          <w:p>
            <w:pPr>
              <w:pStyle w:val="Compact"/>
              <w:jc w:val="center"/>
            </w:pPr>
            <w:r>
              <w:t xml:space="preserve">14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w:t>
            </w:r>
          </w:p>
        </w:tc>
      </w:tr>
      <w:tr>
        <w:tc>
          <w:p>
            <w:pPr>
              <w:pStyle w:val="Compact"/>
              <w:jc w:val="center"/>
            </w:pPr>
            <w:r>
              <w:t xml:space="preserve">CRLOL-s</w:t>
            </w:r>
          </w:p>
        </w:tc>
        <w:tc>
          <w:p>
            <w:pPr>
              <w:pStyle w:val="Compact"/>
              <w:jc w:val="center"/>
            </w:pPr>
            <w:r>
              <w:t xml:space="preserve">2018</w:t>
            </w:r>
          </w:p>
        </w:tc>
        <w:tc>
          <w:p>
            <w:pPr>
              <w:pStyle w:val="Compact"/>
              <w:jc w:val="center"/>
            </w:pPr>
            <w:r>
              <w:t xml:space="preserve">-</w:t>
            </w:r>
          </w:p>
        </w:tc>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w:t>
            </w:r>
          </w:p>
        </w:tc>
      </w:tr>
      <w:tr>
        <w:tc>
          <w:p>
            <w:pPr>
              <w:pStyle w:val="Compact"/>
              <w:jc w:val="center"/>
            </w:pPr>
            <w:r>
              <w:t xml:space="preserve">CRLOL-s</w:t>
            </w:r>
          </w:p>
        </w:tc>
        <w:tc>
          <w:p>
            <w:pPr>
              <w:pStyle w:val="Compact"/>
              <w:jc w:val="center"/>
            </w:pPr>
            <w:r>
              <w:t xml:space="preserve">2019</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103</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114</w:t>
            </w:r>
          </w:p>
        </w:tc>
      </w:tr>
      <w:tr>
        <w:tc>
          <w:p>
            <w:pPr>
              <w:pStyle w:val="Compact"/>
              <w:jc w:val="center"/>
            </w:pPr>
            <w:r>
              <w:t xml:space="preserve">CRSFC-s</w:t>
            </w:r>
          </w:p>
        </w:tc>
        <w:tc>
          <w:p>
            <w:pPr>
              <w:pStyle w:val="Compact"/>
              <w:jc w:val="center"/>
            </w:pPr>
            <w:r>
              <w:t xml:space="preserve">2018</w:t>
            </w:r>
          </w:p>
        </w:tc>
        <w:tc>
          <w:p>
            <w:pPr>
              <w:pStyle w:val="Compact"/>
              <w:jc w:val="center"/>
            </w:pPr>
            <w:r>
              <w:t xml:space="preserve">25</w:t>
            </w:r>
          </w:p>
        </w:tc>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w:t>
            </w:r>
          </w:p>
        </w:tc>
      </w:tr>
      <w:tr>
        <w:tc>
          <w:p>
            <w:pPr>
              <w:pStyle w:val="Compact"/>
              <w:jc w:val="center"/>
            </w:pPr>
            <w:r>
              <w:t xml:space="preserve">CRSFC-s</w:t>
            </w:r>
          </w:p>
        </w:tc>
        <w:tc>
          <w:p>
            <w:pPr>
              <w:pStyle w:val="Compact"/>
              <w:jc w:val="center"/>
            </w:pPr>
            <w:r>
              <w:t xml:space="preserve">2019</w:t>
            </w:r>
          </w:p>
        </w:tc>
        <w:tc>
          <w:p>
            <w:pPr>
              <w:pStyle w:val="Compact"/>
              <w:jc w:val="center"/>
            </w:pPr>
            <w:r>
              <w:t xml:space="preserve">66</w:t>
            </w:r>
          </w:p>
        </w:tc>
        <w:tc>
          <w:p>
            <w:pPr>
              <w:pStyle w:val="Compact"/>
              <w:jc w:val="center"/>
            </w:pPr>
            <w:r>
              <w:t xml:space="preserve">16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MFBIG-s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SRLEM-s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6</w:t>
            </w:r>
          </w:p>
        </w:tc>
        <w:tc>
          <w:p>
            <w:pPr>
              <w:pStyle w:val="Compact"/>
              <w:jc w:val="center"/>
            </w:pPr>
            <w:r>
              <w:t xml:space="preserve">1</w:t>
            </w:r>
          </w:p>
        </w:tc>
        <w:tc>
          <w:p>
            <w:pPr>
              <w:pStyle w:val="Compact"/>
              <w:jc w:val="center"/>
            </w:pPr>
            <w:r>
              <w:t xml:space="preserve">8</w:t>
            </w:r>
          </w:p>
        </w:tc>
      </w:tr>
      <w:tr>
        <w:tc>
          <w:p>
            <w:pPr>
              <w:pStyle w:val="Compact"/>
              <w:jc w:val="center"/>
            </w:pPr>
            <w:r>
              <w:t xml:space="preserve">SRNFS-s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SRUMA-s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w:t>
            </w:r>
          </w:p>
        </w:tc>
        <w:tc>
          <w:p>
            <w:pPr>
              <w:pStyle w:val="Compact"/>
              <w:jc w:val="center"/>
            </w:pPr>
            <w:r>
              <w:t xml:space="preserve">11</w:t>
            </w:r>
          </w:p>
        </w:tc>
      </w:tr>
      <w:tr>
        <w:tc>
          <w:p>
            <w:pPr>
              <w:pStyle w:val="Compact"/>
              <w:jc w:val="center"/>
            </w:pPr>
            <w:r>
              <w:t xml:space="preserve">SRUMA-s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17</w:t>
            </w:r>
          </w:p>
        </w:tc>
        <w:tc>
          <w:p>
            <w:pPr>
              <w:pStyle w:val="Compact"/>
              <w:jc w:val="center"/>
            </w:pPr>
            <w:r>
              <w:t xml:space="preserve">1</w:t>
            </w:r>
          </w:p>
        </w:tc>
        <w:tc>
          <w:p>
            <w:pPr>
              <w:pStyle w:val="Compact"/>
              <w:jc w:val="center"/>
            </w:pPr>
            <w:r>
              <w:t xml:space="preserve">-</w:t>
            </w:r>
          </w:p>
        </w:tc>
        <w:tc>
          <w:p>
            <w:pPr>
              <w:pStyle w:val="Compact"/>
              <w:jc w:val="center"/>
            </w:pPr>
            <w:r>
              <w:t xml:space="preserve">18</w:t>
            </w:r>
          </w:p>
        </w:tc>
      </w:tr>
      <w:tr>
        <w:tc>
          <w:p>
            <w:pPr>
              <w:pStyle w:val="Compact"/>
              <w:jc w:val="center"/>
            </w:pPr>
            <w:r>
              <w:t xml:space="preserve">SRUMA-s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4</w:t>
            </w:r>
          </w:p>
        </w:tc>
      </w:tr>
    </w:tbl>
    <w:p>
      <w:pPr>
        <w:pStyle w:val="Heading3"/>
      </w:pPr>
      <w:bookmarkStart w:id="27" w:name="section-2.-expected-precision-of-phos-given-current-systematic-pit-tagging-of-hnc-adults-at-lgr"/>
      <w:bookmarkEnd w:id="27"/>
      <w:r>
        <w:t xml:space="preserve">Section 2. Expected precision of</w:t>
      </w:r>
      <w:r>
        <w:t xml:space="preserve"> </w:t>
      </w:r>
      <w:r>
        <w:rPr>
          <w:i/>
        </w:rPr>
        <w:t xml:space="preserve">pHOS</w:t>
      </w:r>
      <w:r>
        <w:t xml:space="preserve"> </w:t>
      </w:r>
      <w:r>
        <w:t xml:space="preserve">given current systematic PIT tagging of HNC adults at LGR</w:t>
      </w:r>
    </w:p>
    <w:p>
      <w:pPr>
        <w:pStyle w:val="FirstParagraph"/>
      </w:pPr>
      <w:r>
        <w:t xml:space="preserve">Next, we evaluated the expected precision (CV) of</w:t>
      </w:r>
      <w:r>
        <w:t xml:space="preserve"> </w:t>
      </w:r>
      <w:r>
        <w:rPr>
          <w:i/>
        </w:rPr>
        <w:t xml:space="preserve">pHOS</w:t>
      </w:r>
      <w:r>
        <w:t xml:space="preserve"> </w:t>
      </w:r>
      <w:r>
        <w:t xml:space="preserve">estimates given current PIT tagging rates of ad-intact adults, both wild (W) and hatchery (HNC) at LGR. This leverages the fact that all ad-intact adults trapped at LGR are already implanted with a PIT tag. Estimates of wild adult abundance across select TRT populations and locations in the SRB are already available from DABOM. Here, we will re-run DABOM for HNC individuals for SY 2017 through 2019 to get HNC abundance estimates for locations and populations where we already report W abundance using DABOM. The HNC and W abundance estimates, at the same spatial scales, can then easily be combined to estimate</w:t>
      </w:r>
      <w:r>
        <w:t xml:space="preserve"> </w:t>
      </w:r>
      <w:r>
        <w:rPr>
          <w:i/>
        </w:rPr>
        <w:t xml:space="preserve">pHOS</w:t>
      </w:r>
      <w:r>
        <w:t xml:space="preserve"> </w:t>
      </w:r>
      <w:r>
        <w:t xml:space="preserve">with uncertainty.</w:t>
      </w:r>
    </w:p>
    <w:p>
      <w:pPr>
        <w:pStyle w:val="BodyText"/>
      </w:pPr>
      <w:r>
        <w:t xml:space="preserve">This evaluation ignores ad-clipped H adults, but is effective for estimating</w:t>
      </w:r>
      <w:r>
        <w:t xml:space="preserve"> </w:t>
      </w:r>
      <w:r>
        <w:rPr>
          <w:i/>
        </w:rPr>
        <w:t xml:space="preserve">pHOS</w:t>
      </w:r>
      <w:r>
        <w:t xml:space="preserve"> </w:t>
      </w:r>
      <w:r>
        <w:t xml:space="preserve">among ad-intact individuals and may be of particular interest for supplementation locations (e.g., South Fork Clearwater steelhead). Unfortunately, it seems there is no easy way to combine juvenile smolt release tagging (tag expansion approach) and adult tagging information at LGR (DABOM model, transition probability approach) to estimate hatchery abundance and</w:t>
      </w:r>
      <w:r>
        <w:t xml:space="preserve"> </w:t>
      </w:r>
      <w:r>
        <w:rPr>
          <w:i/>
        </w:rPr>
        <w:t xml:space="preserve">pHOS</w:t>
      </w:r>
      <w:r>
        <w:t xml:space="preserve"> </w:t>
      </w:r>
      <w:r>
        <w:t xml:space="preserve">using IPTDS observations.</w:t>
      </w:r>
    </w:p>
    <w:p>
      <w:pPr>
        <w:pStyle w:val="Heading3"/>
      </w:pPr>
      <w:bookmarkStart w:id="28" w:name="section-3.-expected-precision-of-phos-by-adding-tagging-of-ad-clipped-hatchery-h-adults-at-lgr"/>
      <w:bookmarkEnd w:id="28"/>
      <w:r>
        <w:t xml:space="preserve">Section 3. Expected precision of</w:t>
      </w:r>
      <w:r>
        <w:t xml:space="preserve"> </w:t>
      </w:r>
      <w:r>
        <w:rPr>
          <w:i/>
        </w:rPr>
        <w:t xml:space="preserve">pHOS</w:t>
      </w:r>
      <w:r>
        <w:t xml:space="preserve"> </w:t>
      </w:r>
      <w:r>
        <w:t xml:space="preserve">by adding tagging of ad-clipped hatchery (H) adults at LGR</w:t>
      </w:r>
    </w:p>
    <w:p>
      <w:pPr>
        <w:pStyle w:val="FirstParagraph"/>
      </w:pPr>
      <w:r>
        <w:t xml:space="preserve">Finally, we evaluated the expected precision (CV) of</w:t>
      </w:r>
      <w:r>
        <w:t xml:space="preserve"> </w:t>
      </w:r>
      <w:r>
        <w:rPr>
          <w:i/>
        </w:rPr>
        <w:t xml:space="preserve">pHOS</w:t>
      </w:r>
      <w:r>
        <w:t xml:space="preserve"> </w:t>
      </w:r>
      <w:r>
        <w:t xml:space="preserve">estimates given additional (theoretical) tagging of ad-clipped hatchery (H) adults at LGR using a simulation approach. Here, again, we must ignore PIT tagged hatchery smolt releases and the tag expansion approach as the DABOM model is reliant on systematic tagging of the adult return. First, we demonstrate how an estimate of</w:t>
      </w:r>
      <w:r>
        <w:t xml:space="preserve"> </w:t>
      </w:r>
      <w:r>
        <w:rPr>
          <w:i/>
        </w:rPr>
        <w:t xml:space="preserve">pHOS</w:t>
      </w:r>
      <w:r>
        <w:t xml:space="preserve"> </w:t>
      </w:r>
      <w:r>
        <w:t xml:space="preserve">can be generated under the DABOM framework.</w:t>
      </w:r>
    </w:p>
    <w:p>
      <w:pPr>
        <w:pStyle w:val="Heading4"/>
      </w:pPr>
      <w:bookmarkStart w:id="29" w:name="mathematical-reasoning"/>
      <w:bookmarkEnd w:id="29"/>
      <w:r>
        <w:t xml:space="preserve">Mathematical Reasoning</w:t>
      </w:r>
    </w:p>
    <w:p>
      <w:pPr>
        <w:pStyle w:val="FirstParagraph"/>
      </w:pPr>
      <w:r>
        <w:t xml:space="preserve">The estimate of</w:t>
      </w:r>
      <w:r>
        <w:t xml:space="preserve"> </w:t>
      </w:r>
      <w:r>
        <w:rPr>
          <w:i/>
        </w:rPr>
        <w:t xml:space="preserve">pHOS</w:t>
      </w:r>
      <w:r>
        <w:t xml:space="preserve"> </w:t>
      </w:r>
      <w:r>
        <w:t xml:space="preserve">at any branch</w:t>
      </w:r>
      <w:r>
        <w:t xml:space="preserve"> </w:t>
      </w:r>
      <m:oMath>
        <m:r>
          <m:t>i</m:t>
        </m:r>
      </m:oMath>
      <w:r>
        <w:t xml:space="preserve"> </w:t>
      </w:r>
      <w:r>
        <w:t xml:space="preserve">in the DABOM model can be written as</w:t>
      </w:r>
    </w:p>
    <w:p>
      <w:pPr>
        <w:pStyle w:val="BodyText"/>
      </w:pPr>
      <m:oMathPara>
        <m:oMathParaPr>
          <m:jc m:val="center"/>
        </m:oMathParaPr>
        <m:oMath>
          <m:groupChr>
            <m:groupChrPr>
              <m:chr m:val="^"/>
              <m:pos m:val="top"/>
              <m:vertJc m:val="bot"/>
            </m:groupChrPr>
            <m:e>
              <m:r>
                <m:t>p</m:t>
              </m:r>
              <m:r>
                <m:t>H</m:t>
              </m:r>
              <m:r>
                <m:t>O</m:t>
              </m:r>
              <m:sSub>
                <m:e>
                  <m:r>
                    <m:t>S</m:t>
                  </m:r>
                </m:e>
                <m:sub>
                  <m:r>
                    <m:t>i</m:t>
                  </m:r>
                </m:sub>
              </m:sSub>
            </m:e>
          </m:groupChr>
          <m:r>
            <m:t>=</m:t>
          </m:r>
          <m:f>
            <m:fPr>
              <m:type m:val="bar"/>
            </m:fPr>
            <m:num>
              <m:sSub>
                <m:e>
                  <m:r>
                    <m:t>μ</m:t>
                  </m:r>
                </m:e>
                <m:sub>
                  <m:r>
                    <m:t>h</m:t>
                  </m:r>
                  <m:r>
                    <m:t>,</m:t>
                  </m:r>
                  <m:r>
                    <m:t>i</m:t>
                  </m:r>
                </m:sub>
              </m:sSub>
            </m:num>
            <m:den>
              <m:sSub>
                <m:e>
                  <m:r>
                    <m:t>μ</m:t>
                  </m:r>
                </m:e>
                <m:sub>
                  <m:r>
                    <m:t>h</m:t>
                  </m:r>
                  <m:r>
                    <m:t>,</m:t>
                  </m:r>
                  <m:r>
                    <m:t>i</m:t>
                  </m:r>
                </m:sub>
              </m:sSub>
              <m:r>
                <m:t>+</m:t>
              </m:r>
              <m:sSub>
                <m:e>
                  <m:r>
                    <m:t>μ</m:t>
                  </m:r>
                </m:e>
                <m:sub>
                  <m:r>
                    <m:t>w</m:t>
                  </m:r>
                  <m:r>
                    <m:t>,</m:t>
                  </m:r>
                  <m:r>
                    <m:t>i</m:t>
                  </m:r>
                </m:sub>
              </m:sSub>
            </m:den>
          </m:f>
        </m:oMath>
      </m:oMathPara>
    </w:p>
    <w:p>
      <w:pPr>
        <w:pStyle w:val="FirstParagraph"/>
      </w:pPr>
      <w:r>
        <w:t xml:space="preserve">where</w:t>
      </w:r>
      <w:r>
        <w:t xml:space="preserve"> </w:t>
      </w:r>
      <m:oMath>
        <m:sSub>
          <m:e>
            <m:r>
              <m:t>μ</m:t>
            </m:r>
          </m:e>
          <m:sub>
            <m:r>
              <m:t>h</m:t>
            </m:r>
            <m:r>
              <m:t>,</m:t>
            </m:r>
            <m:r>
              <m:t>i</m:t>
            </m:r>
          </m:sub>
        </m:sSub>
      </m:oMath>
      <w:r>
        <w:t xml:space="preserve"> </w:t>
      </w:r>
      <w:r>
        <w:t xml:space="preserve">and</w:t>
      </w:r>
      <w:r>
        <w:t xml:space="preserve"> </w:t>
      </w:r>
      <m:oMath>
        <m:sSub>
          <m:e>
            <m:r>
              <m:t>μ</m:t>
            </m:r>
          </m:e>
          <m:sub>
            <m:r>
              <m:t>w</m:t>
            </m:r>
            <m:r>
              <m:t>,</m:t>
            </m:r>
            <m:r>
              <m:t>i</m:t>
            </m:r>
          </m:sub>
        </m:sSub>
      </m:oMath>
      <w:r>
        <w:t xml:space="preserve"> </w:t>
      </w:r>
      <w:r>
        <w:t xml:space="preserve">are the estimates of hatchery and wild fish who have escaped to spawn in branch</w:t>
      </w:r>
      <w:r>
        <w:t xml:space="preserve"> </w:t>
      </w:r>
      <m:oMath>
        <m:r>
          <m:t>i</m:t>
        </m:r>
      </m:oMath>
      <w:r>
        <w:t xml:space="preserve">. Ignoring the subscript</w:t>
      </w:r>
      <w:r>
        <w:t xml:space="preserve"> </w:t>
      </w:r>
      <m:oMath>
        <m:r>
          <m:t>i</m:t>
        </m:r>
      </m:oMath>
      <w:r>
        <w:t xml:space="preserve">, let</w:t>
      </w:r>
      <w:r>
        <w:t xml:space="preserve"> </w:t>
      </w:r>
      <m:oMath>
        <m:sSubSup>
          <m:e>
            <m:r>
              <m:t>σ</m:t>
            </m:r>
          </m:e>
          <m:sub>
            <m:r>
              <m:t>h</m:t>
            </m:r>
          </m:sub>
          <m:sup>
            <m:r>
              <m:t>2</m:t>
            </m:r>
          </m:sup>
        </m:sSubSup>
      </m:oMath>
      <w:r>
        <w:t xml:space="preserve"> </w:t>
      </w:r>
      <w:r>
        <w:t xml:space="preserve">and</w:t>
      </w:r>
      <w:r>
        <w:t xml:space="preserve"> </w:t>
      </w:r>
      <m:oMath>
        <m:sSubSup>
          <m:e>
            <m:r>
              <m:t>σ</m:t>
            </m:r>
          </m:e>
          <m:sub>
            <m:r>
              <m:t>w</m:t>
            </m:r>
          </m:sub>
          <m:sup>
            <m:r>
              <m:t>2</m:t>
            </m:r>
          </m:sup>
        </m:sSubSup>
      </m:oMath>
      <w:r>
        <w:t xml:space="preserve"> </w:t>
      </w:r>
      <w:r>
        <w:t xml:space="preserve">represent the variance of those estimates. Then we can re-write our equation for</w:t>
      </w:r>
      <w:r>
        <w:t xml:space="preserve"> </w:t>
      </w:r>
      <w:r>
        <w:rPr>
          <w:i/>
        </w:rPr>
        <w:t xml:space="preserve">pHOS</w:t>
      </w:r>
      <w:r>
        <w:t xml:space="preserve"> </w:t>
      </w:r>
      <w:r>
        <w:t xml:space="preserve">as a function of hatchery and wild escapement estimates, assuming they are independent of one another (and assuming multivariate normality):</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p</m:t>
                    </m:r>
                    <m:r>
                      <m:t>H</m:t>
                    </m:r>
                    <m:r>
                      <m:t>O</m:t>
                    </m:r>
                    <m:r>
                      <m:t>S</m:t>
                    </m:r>
                  </m:e>
                </m:groupChr>
              </m:e>
              <m:e>
                <m:r>
                  <m:t>=</m:t>
                </m:r>
                <m:f>
                  <m:fPr>
                    <m:type m:val="bar"/>
                  </m:fPr>
                  <m:num>
                    <m:r>
                      <m:t>h</m:t>
                    </m:r>
                  </m:num>
                  <m:den>
                    <m:r>
                      <m:t>h</m:t>
                    </m:r>
                    <m:r>
                      <m:t>+</m:t>
                    </m:r>
                    <m:r>
                      <m:t>w</m:t>
                    </m:r>
                  </m:den>
                </m:f>
                <m:r>
                  <m:t>=</m:t>
                </m:r>
                <m:r>
                  <m:t>g</m:t>
                </m:r>
                <m:d>
                  <m:dPr>
                    <m:begChr m:val="("/>
                    <m:endChr m:val=")"/>
                    <m:grow/>
                  </m:dPr>
                  <m:e>
                    <m:m>
                      <m:mPr>
                        <m:baseJc m:val="center"/>
                        <m:plcHide m:val="1"/>
                        <m:mcs>
                          <m:mc>
                            <m:mcPr>
                              <m:mcJc m:val="center"/>
                              <m:count m:val="1"/>
                            </m:mcPr>
                          </m:mc>
                        </m:mcs>
                      </m:mPr>
                      <m:mr>
                        <m:e>
                          <m:r>
                            <m:t>h</m:t>
                          </m:r>
                        </m:e>
                      </m:mr>
                      <m:mr>
                        <m:e>
                          <m:r>
                            <m:t>w</m:t>
                          </m:r>
                        </m:e>
                      </m:mr>
                    </m:m>
                  </m:e>
                </m:d>
              </m:e>
            </m:mr>
            <m:mr>
              <m:e/>
            </m:mr>
            <m:mr>
              <m:e>
                <m:r>
                  <m:t>g</m:t>
                </m:r>
                <m:d>
                  <m:dPr>
                    <m:begChr m:val="("/>
                    <m:endChr m:val=")"/>
                    <m:grow/>
                  </m:dPr>
                  <m:e>
                    <m:m>
                      <m:mPr>
                        <m:baseJc m:val="center"/>
                        <m:plcHide m:val="1"/>
                        <m:mcs>
                          <m:mc>
                            <m:mcPr>
                              <m:mcJc m:val="center"/>
                              <m:count m:val="1"/>
                            </m:mcPr>
                          </m:mc>
                        </m:mcs>
                      </m:mPr>
                      <m:mr>
                        <m:e>
                          <m:r>
                            <m:t>h</m:t>
                          </m:r>
                        </m:e>
                      </m:mr>
                      <m:mr>
                        <m:e>
                          <m:r>
                            <m:t>w</m:t>
                          </m:r>
                        </m:e>
                      </m:mr>
                    </m:m>
                  </m:e>
                </m:d>
              </m:e>
              <m:e>
                <m:r>
                  <m:t>∼</m:t>
                </m:r>
                <m:r>
                  <m:t>N</m:t>
                </m:r>
                <m:d>
                  <m:dPr>
                    <m:begChr m:val="("/>
                    <m:endChr m:val=")"/>
                    <m:grow/>
                  </m:dPr>
                  <m:e>
                    <m:m>
                      <m:mPr>
                        <m:baseJc m:val="center"/>
                        <m:plcHide m:val="1"/>
                        <m:mcs>
                          <m:mc>
                            <m:mcPr>
                              <m:mcJc m:val="center"/>
                              <m:count m:val="1"/>
                            </m:mcPr>
                          </m:mc>
                        </m:mcs>
                      </m:mPr>
                      <m:mr>
                        <m:e>
                          <m:sSub>
                            <m:e>
                              <m:r>
                                <m:t>μ</m:t>
                              </m:r>
                            </m:e>
                            <m:sub>
                              <m:r>
                                <m:t>h</m:t>
                              </m:r>
                            </m:sub>
                          </m:sSub>
                        </m:e>
                      </m:mr>
                      <m:mr>
                        <m:e>
                          <m:sSub>
                            <m:e>
                              <m:r>
                                <m:t>μ</m:t>
                              </m:r>
                            </m:e>
                            <m:sub>
                              <m:r>
                                <m:t>w</m:t>
                              </m:r>
                            </m:sub>
                          </m:sSub>
                        </m:e>
                      </m:mr>
                    </m:m>
                    <m:r>
                      <m:t>,</m:t>
                    </m:r>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e>
                </m:d>
              </m:e>
            </m:mr>
            <m:mr>
              <m:e/>
            </m:mr>
            <m:mr>
              <m:e/>
              <m:e>
                <m:r>
                  <m:t>≡</m:t>
                </m:r>
                <m:r>
                  <m:t>N</m:t>
                </m:r>
                <m:r>
                  <m:t>(</m:t>
                </m:r>
                <m:r>
                  <m:rPr>
                    <m:sty m:val="b"/>
                  </m:rPr>
                  <m:t>μ</m:t>
                </m:r>
                <m:r>
                  <m:t>,</m:t>
                </m:r>
                <m:r>
                  <m:t>Σ</m:t>
                </m:r>
                <m:r>
                  <m:t>)</m:t>
                </m:r>
              </m:e>
            </m:mr>
          </m:m>
        </m:oMath>
      </m:oMathPara>
    </w:p>
    <w:p>
      <w:pPr>
        <w:pStyle w:val="FirstParagraph"/>
      </w:pPr>
      <w:r>
        <w:t xml:space="preserve">Then, via the delta method (or Taylor approximation)</w:t>
      </w:r>
      <w:r>
        <w:t xml:space="preserve"> </w:t>
      </w:r>
      <w:r>
        <w:t xml:space="preserve">(Doob 1935)</w:t>
      </w:r>
      <w:r>
        <w:t xml:space="preserve">, we can derive the variance of our estimates of</w:t>
      </w:r>
      <w:r>
        <w:t xml:space="preserve"> </w:t>
      </w:r>
      <w:r>
        <w:rPr>
          <w:i/>
        </w:rPr>
        <w:t xml:space="preserve">pHOS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r>
                  <m:t>g</m:t>
                </m:r>
                <m:r>
                  <m:t>)</m:t>
                </m:r>
              </m:e>
              <m:e>
                <m:r>
                  <m:t>=</m:t>
                </m:r>
                <m:d>
                  <m:dPr>
                    <m:begChr m:val="("/>
                    <m:endChr m:val=")"/>
                    <m:grow/>
                  </m:dPr>
                  <m:e>
                    <m:f>
                      <m:fPr>
                        <m:type m:val="bar"/>
                      </m:fPr>
                      <m:num>
                        <m:r>
                          <m:t>∂</m:t>
                        </m:r>
                        <m:r>
                          <m:t>g</m:t>
                        </m:r>
                      </m:num>
                      <m:den>
                        <m:r>
                          <m:t>∂</m:t>
                        </m:r>
                        <m:r>
                          <m:t>h</m:t>
                        </m:r>
                      </m:den>
                    </m:f>
                    <m:r>
                      <m:t>,</m:t>
                    </m:r>
                    <m:f>
                      <m:fPr>
                        <m:type m:val="bar"/>
                      </m:fPr>
                      <m:num>
                        <m:r>
                          <m:t>∂</m:t>
                        </m:r>
                        <m:r>
                          <m:t>g</m:t>
                        </m:r>
                      </m:num>
                      <m:den>
                        <m:r>
                          <m:t>∂</m:t>
                        </m:r>
                        <m:r>
                          <m:t>w</m:t>
                        </m:r>
                      </m:den>
                    </m:f>
                  </m:e>
                </m:d>
                <m:r>
                  <m:t>Σ</m:t>
                </m:r>
                <m:d>
                  <m:dPr>
                    <m:begChr m:val="("/>
                    <m:endChr m:val=")"/>
                    <m:grow/>
                  </m:dPr>
                  <m:e>
                    <m:m>
                      <m:mPr>
                        <m:baseJc m:val="center"/>
                        <m:plcHide m:val="1"/>
                        <m:mcs>
                          <m:mc>
                            <m:mcPr>
                              <m:mcJc m:val="center"/>
                              <m:count m:val="1"/>
                            </m:mcPr>
                          </m:mc>
                        </m:mcs>
                      </m:mPr>
                      <m:mr>
                        <m:e>
                          <m:f>
                            <m:fPr>
                              <m:type m:val="bar"/>
                            </m:fPr>
                            <m:num>
                              <m:r>
                                <m:t>∂</m:t>
                              </m:r>
                              <m:r>
                                <m:t>g</m:t>
                              </m:r>
                            </m:num>
                            <m:den>
                              <m:r>
                                <m:t>∂</m:t>
                              </m:r>
                              <m:r>
                                <m:t>h</m:t>
                              </m:r>
                            </m:den>
                          </m:f>
                        </m:e>
                      </m:mr>
                      <m:mr>
                        <m:e>
                          <m:f>
                            <m:fPr>
                              <m:type m:val="bar"/>
                            </m:fPr>
                            <m:num>
                              <m:r>
                                <m:t>∂</m:t>
                              </m:r>
                              <m:r>
                                <m:t>g</m:t>
                              </m:r>
                            </m:num>
                            <m:den>
                              <m:r>
                                <m:t>∂</m:t>
                              </m:r>
                              <m:r>
                                <m:t>w</m:t>
                              </m:r>
                            </m:den>
                          </m:f>
                        </m:e>
                      </m:mr>
                    </m:m>
                  </m:e>
                </m:d>
              </m:e>
            </m:mr>
            <m:mr>
              <m:e/>
            </m:mr>
            <m:mr>
              <m:e/>
              <m:e>
                <m:r>
                  <m:t>=</m:t>
                </m:r>
                <m:d>
                  <m:dPr>
                    <m:begChr m:val="("/>
                    <m:endChr m:val=")"/>
                    <m:grow/>
                  </m:dPr>
                  <m:e>
                    <m:f>
                      <m:fPr>
                        <m:type m:val="bar"/>
                      </m:fPr>
                      <m:num>
                        <m:r>
                          <m:t>w</m:t>
                        </m:r>
                      </m:num>
                      <m:den>
                        <m:r>
                          <m:t>(</m:t>
                        </m:r>
                        <m:r>
                          <m:t>h</m:t>
                        </m:r>
                        <m:r>
                          <m:t>+</m:t>
                        </m:r>
                        <m:r>
                          <m:t>w</m:t>
                        </m:r>
                        <m:sSup>
                          <m:e>
                            <m:r>
                              <m:t>)</m:t>
                            </m:r>
                          </m:e>
                          <m:sup>
                            <m:r>
                              <m:t>2</m:t>
                            </m:r>
                          </m:sup>
                        </m:sSup>
                      </m:den>
                    </m:f>
                    <m:r>
                      <m:t>,</m:t>
                    </m:r>
                    <m:f>
                      <m:fPr>
                        <m:type m:val="bar"/>
                      </m:fPr>
                      <m:num>
                        <m:r>
                          <m:t>h</m:t>
                        </m:r>
                      </m:num>
                      <m:den>
                        <m:r>
                          <m:t>(</m:t>
                        </m:r>
                        <m:r>
                          <m:t>h</m:t>
                        </m:r>
                        <m:r>
                          <m:t>+</m:t>
                        </m:r>
                        <m:r>
                          <m:t>w</m:t>
                        </m:r>
                        <m:sSup>
                          <m:e>
                            <m:r>
                              <m:t>)</m:t>
                            </m:r>
                          </m:e>
                          <m:sup>
                            <m:r>
                              <m:t>2</m:t>
                            </m:r>
                          </m:sup>
                        </m:sSup>
                      </m:den>
                    </m:f>
                  </m:e>
                </m:d>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d>
                  <m:dPr>
                    <m:begChr m:val="("/>
                    <m:endChr m:val=")"/>
                    <m:grow/>
                  </m:dPr>
                  <m:e>
                    <m:f>
                      <m:fPr>
                        <m:type m:val="bar"/>
                      </m:fPr>
                      <m:num>
                        <m:r>
                          <m:t>w</m:t>
                        </m:r>
                        <m:sSubSup>
                          <m:e>
                            <m:r>
                              <m:t>σ</m:t>
                            </m:r>
                          </m:e>
                          <m:sub>
                            <m:r>
                              <m:t>h</m:t>
                            </m:r>
                          </m:sub>
                          <m:sup>
                            <m:r>
                              <m:t>2</m:t>
                            </m:r>
                          </m:sup>
                        </m:sSubSup>
                      </m:num>
                      <m:den>
                        <m:r>
                          <m:t>(</m:t>
                        </m:r>
                        <m:r>
                          <m:t>h</m:t>
                        </m:r>
                        <m:r>
                          <m:t>+</m:t>
                        </m:r>
                        <m:r>
                          <m:t>w</m:t>
                        </m:r>
                        <m:sSup>
                          <m:e>
                            <m:r>
                              <m:t>)</m:t>
                            </m:r>
                          </m:e>
                          <m:sup>
                            <m:r>
                              <m:t>2</m:t>
                            </m:r>
                          </m:sup>
                        </m:sSup>
                      </m:den>
                    </m:f>
                    <m:r>
                      <m:t>,</m:t>
                    </m:r>
                    <m:f>
                      <m:fPr>
                        <m:type m:val="bar"/>
                      </m:fPr>
                      <m:num>
                        <m:r>
                          <m:t>h</m:t>
                        </m:r>
                        <m:sSubSup>
                          <m:e>
                            <m:r>
                              <m:t>σ</m:t>
                            </m:r>
                          </m:e>
                          <m:sub>
                            <m:r>
                              <m:t>w</m:t>
                            </m:r>
                          </m:sub>
                          <m:sup>
                            <m:r>
                              <m:t>2</m:t>
                            </m:r>
                          </m:sup>
                        </m:sSubSup>
                      </m:num>
                      <m:den>
                        <m:r>
                          <m:t>(</m:t>
                        </m:r>
                        <m:r>
                          <m:t>h</m:t>
                        </m:r>
                        <m:r>
                          <m:t>+</m:t>
                        </m:r>
                        <m:r>
                          <m:t>w</m:t>
                        </m:r>
                        <m:sSup>
                          <m:e>
                            <m:r>
                              <m:t>)</m:t>
                            </m:r>
                          </m:e>
                          <m:sup>
                            <m:r>
                              <m:t>2</m:t>
                            </m:r>
                          </m:sup>
                        </m:sSup>
                      </m:den>
                    </m:f>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f>
                  <m:fPr>
                    <m:type m:val="bar"/>
                  </m:fPr>
                  <m:num>
                    <m:sSup>
                      <m:e>
                        <m:r>
                          <m:t>w</m:t>
                        </m:r>
                      </m:e>
                      <m:sup>
                        <m:r>
                          <m:t>2</m:t>
                        </m:r>
                      </m:sup>
                    </m:sSup>
                    <m:sSubSup>
                      <m:e>
                        <m:r>
                          <m:t>σ</m:t>
                        </m:r>
                      </m:e>
                      <m:sub>
                        <m:r>
                          <m:t>h</m:t>
                        </m:r>
                      </m:sub>
                      <m:sup>
                        <m:r>
                          <m:t>2</m:t>
                        </m:r>
                      </m:sup>
                    </m:sSubSup>
                    <m:r>
                      <m:t>+</m:t>
                    </m:r>
                    <m:sSup>
                      <m:e>
                        <m:r>
                          <m:t>h</m:t>
                        </m:r>
                      </m:e>
                      <m:sup>
                        <m:r>
                          <m:t>2</m:t>
                        </m:r>
                      </m:sup>
                    </m:sSup>
                    <m:sSubSup>
                      <m:e>
                        <m:r>
                          <m:t>σ</m:t>
                        </m:r>
                      </m:e>
                      <m:sub>
                        <m:r>
                          <m:t>w</m:t>
                        </m:r>
                      </m:sub>
                      <m:sup>
                        <m:r>
                          <m:t>2</m:t>
                        </m:r>
                      </m:sup>
                    </m:sSubSup>
                  </m:num>
                  <m:den>
                    <m:r>
                      <m:t>(</m:t>
                    </m:r>
                    <m:r>
                      <m:t>h</m:t>
                    </m:r>
                    <m:r>
                      <m:t>+</m:t>
                    </m:r>
                    <m:r>
                      <m:t>w</m:t>
                    </m:r>
                    <m:sSup>
                      <m:e>
                        <m:r>
                          <m:t>)</m:t>
                        </m:r>
                      </m:e>
                      <m:sup>
                        <m:r>
                          <m:t>4</m:t>
                        </m:r>
                      </m:sup>
                    </m:sSup>
                  </m:den>
                </m:f>
                <m:r>
                  <m:t>,</m:t>
                </m:r>
              </m:e>
            </m:mr>
          </m:m>
        </m:oMath>
      </m:oMathPara>
    </w:p>
    <w:p>
      <w:pPr>
        <w:pStyle w:val="FirstParagraph"/>
      </w:pPr>
      <w:r>
        <w:t xml:space="preserve">so the standard error of</w:t>
      </w:r>
      <w:r>
        <w:t xml:space="preserve"> </w:t>
      </w:r>
      <w:r>
        <w:rPr>
          <w:i/>
        </w:rPr>
        <w:t xml:space="preserve">pHOS</w:t>
      </w:r>
      <w:r>
        <w:t xml:space="preserve"> </w:t>
      </w:r>
      <w:r>
        <w:t xml:space="preserve">is</w:t>
      </w:r>
    </w:p>
    <w:p>
      <w:pPr>
        <w:pStyle w:val="BodyText"/>
      </w:pPr>
      <m:oMathPara>
        <m:oMathParaPr>
          <m:jc m:val="center"/>
        </m:oMathParaPr>
        <m:oMath>
          <m:r>
            <m:t>S</m:t>
          </m:r>
          <m:r>
            <m:t>E</m:t>
          </m:r>
          <m:r>
            <m:t>(</m:t>
          </m:r>
          <m:r>
            <m:t>g</m:t>
          </m:r>
          <m:r>
            <m:t>)</m:t>
          </m:r>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oMath>
      </m:oMathPara>
    </w:p>
    <w:p>
      <w:pPr>
        <w:pStyle w:val="FirstParagraph"/>
      </w:pPr>
      <w:r>
        <w:t xml:space="preserve">which implies that the CV of</w:t>
      </w:r>
      <w:r>
        <w:t xml:space="preserve"> </w:t>
      </w:r>
      <w:r>
        <w:rPr>
          <w:i/>
        </w:rPr>
        <w:t xml:space="preserve">pHOS</w:t>
      </w:r>
      <w:r>
        <w:t xml:space="preserve"> </w:t>
      </w:r>
      <w:r>
        <w:t xml:space="preserve">can be derived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r>
                  <m:t>(</m:t>
                </m:r>
                <m:r>
                  <m:t>g</m:t>
                </m:r>
                <m:r>
                  <m:t>)</m:t>
                </m:r>
              </m:e>
              <m:e>
                <m:r>
                  <m:t>=</m:t>
                </m:r>
                <m:f>
                  <m:fPr>
                    <m:type m:val="bar"/>
                  </m:fPr>
                  <m:num>
                    <m:r>
                      <m:t>S</m:t>
                    </m:r>
                    <m:r>
                      <m:t>E</m:t>
                    </m:r>
                    <m:r>
                      <m:t>(</m:t>
                    </m:r>
                    <m:r>
                      <m:t>g</m:t>
                    </m:r>
                    <m:r>
                      <m:t>)</m:t>
                    </m:r>
                  </m:num>
                  <m:den>
                    <m:r>
                      <m:t>g</m:t>
                    </m:r>
                  </m:den>
                </m:f>
              </m:e>
            </m:mr>
            <m:mr>
              <m:e/>
            </m:mr>
            <m:mr>
              <m:e/>
              <m:e>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f>
                  <m:fPr>
                    <m:type m:val="bar"/>
                  </m:fPr>
                  <m:num>
                    <m:r>
                      <m:t>(</m:t>
                    </m:r>
                    <m:r>
                      <m:t>h</m:t>
                    </m:r>
                    <m:r>
                      <m:t>+</m:t>
                    </m:r>
                    <m:r>
                      <m:t>w</m:t>
                    </m:r>
                    <m:r>
                      <m:t>)</m:t>
                    </m:r>
                  </m:num>
                  <m:den>
                    <m:r>
                      <m:t>h</m:t>
                    </m:r>
                  </m:den>
                </m:f>
              </m:e>
            </m:mr>
            <m:mr>
              <m:e/>
            </m:mr>
            <m:mr>
              <m:e/>
              <m:e>
                <m:r>
                  <m:t>=</m:t>
                </m:r>
                <m:f>
                  <m:fPr>
                    <m:type m:val="bar"/>
                  </m:fPr>
                  <m:num>
                    <m:r>
                      <m:t>w</m:t>
                    </m:r>
                    <m:sSub>
                      <m:e>
                        <m:r>
                          <m:t>σ</m:t>
                        </m:r>
                      </m:e>
                      <m:sub>
                        <m:r>
                          <m:t>h</m:t>
                        </m:r>
                      </m:sub>
                    </m:sSub>
                    <m:r>
                      <m:t>+</m:t>
                    </m:r>
                    <m:r>
                      <m:t>h</m:t>
                    </m:r>
                    <m:sSub>
                      <m:e>
                        <m:r>
                          <m:t>σ</m:t>
                        </m:r>
                      </m:e>
                      <m:sub>
                        <m:r>
                          <m:t>w</m:t>
                        </m:r>
                      </m:sub>
                    </m:sSub>
                  </m:num>
                  <m:den>
                    <m:r>
                      <m:t>h</m:t>
                    </m:r>
                    <m:r>
                      <m:t>(</m:t>
                    </m:r>
                    <m:r>
                      <m:t>h</m:t>
                    </m:r>
                    <m:r>
                      <m:t>+</m:t>
                    </m:r>
                    <m:r>
                      <m:t>w</m:t>
                    </m:r>
                    <m:r>
                      <m:t>)</m:t>
                    </m:r>
                  </m:den>
                </m:f>
              </m:e>
            </m:mr>
            <m:mr>
              <m:e/>
            </m:mr>
            <m:mr>
              <m:e/>
              <m:e>
                <m:r>
                  <m:t>=</m:t>
                </m:r>
                <m:f>
                  <m:fPr>
                    <m:type m:val="bar"/>
                  </m:fPr>
                  <m:num>
                    <m:r>
                      <m:t>h</m:t>
                    </m:r>
                    <m:sSub>
                      <m:e>
                        <m:r>
                          <m:t>σ</m:t>
                        </m:r>
                      </m:e>
                      <m:sub>
                        <m:r>
                          <m:t>w</m:t>
                        </m:r>
                      </m:sub>
                    </m:sSub>
                  </m:num>
                  <m:den>
                    <m:r>
                      <m:t>h</m:t>
                    </m:r>
                    <m:r>
                      <m:t>(</m:t>
                    </m:r>
                    <m:r>
                      <m:t>h</m:t>
                    </m:r>
                    <m:r>
                      <m:t>+</m:t>
                    </m:r>
                    <m:r>
                      <m:t>w</m:t>
                    </m:r>
                    <m:r>
                      <m:t>)</m:t>
                    </m:r>
                  </m:den>
                </m:f>
                <m:r>
                  <m:t>+</m:t>
                </m:r>
                <m:f>
                  <m:fPr>
                    <m:type m:val="bar"/>
                  </m:fPr>
                  <m:num>
                    <m:r>
                      <m:t>w</m:t>
                    </m:r>
                    <m:sSub>
                      <m:e>
                        <m:r>
                          <m:t>σ</m:t>
                        </m:r>
                      </m:e>
                      <m:sub>
                        <m:r>
                          <m:t>h</m:t>
                        </m:r>
                      </m:sub>
                    </m:sSub>
                  </m:num>
                  <m:den>
                    <m:r>
                      <m:t>h</m:t>
                    </m:r>
                    <m:r>
                      <m:t>(</m:t>
                    </m:r>
                    <m:r>
                      <m:t>h</m:t>
                    </m:r>
                    <m:r>
                      <m:t>+</m:t>
                    </m:r>
                    <m:r>
                      <m:t>w</m:t>
                    </m:r>
                    <m:r>
                      <m:t>)</m:t>
                    </m:r>
                  </m:den>
                </m:f>
              </m:e>
            </m:mr>
            <m:mr>
              <m:e/>
            </m:mr>
            <m:mr>
              <m:e/>
              <m:e>
                <m:r>
                  <m:t>=</m:t>
                </m:r>
                <m:f>
                  <m:fPr>
                    <m:type m:val="bar"/>
                  </m:fPr>
                  <m:num>
                    <m:sSub>
                      <m:e>
                        <m:r>
                          <m:t>σ</m:t>
                        </m:r>
                      </m:e>
                      <m:sub>
                        <m:r>
                          <m:t>w</m:t>
                        </m:r>
                      </m:sub>
                    </m:sSub>
                  </m:num>
                  <m:den>
                    <m:r>
                      <m:t>(</m:t>
                    </m:r>
                    <m:r>
                      <m:t>h</m:t>
                    </m:r>
                    <m:r>
                      <m:t>+</m:t>
                    </m:r>
                    <m:r>
                      <m:t>w</m:t>
                    </m:r>
                    <m:r>
                      <m:t>)</m:t>
                    </m:r>
                  </m:den>
                </m:f>
                <m:r>
                  <m:t>+</m:t>
                </m:r>
                <m:f>
                  <m:fPr>
                    <m:type m:val="bar"/>
                  </m:fPr>
                  <m:num>
                    <m:r>
                      <m:t>w</m:t>
                    </m:r>
                  </m:num>
                  <m:den>
                    <m:r>
                      <m:t>(</m:t>
                    </m:r>
                    <m:r>
                      <m:t>h</m:t>
                    </m:r>
                    <m:r>
                      <m:t>+</m:t>
                    </m:r>
                    <m:r>
                      <m:t>w</m:t>
                    </m:r>
                    <m:r>
                      <m:t>)</m:t>
                    </m:r>
                  </m:den>
                </m:f>
                <m:r>
                  <m:t>*</m:t>
                </m:r>
                <m:f>
                  <m:fPr>
                    <m:type m:val="bar"/>
                  </m:fPr>
                  <m:num>
                    <m:sSub>
                      <m:e>
                        <m:r>
                          <m:t>σ</m:t>
                        </m:r>
                      </m:e>
                      <m:sub>
                        <m:r>
                          <m:t>h</m:t>
                        </m:r>
                      </m:sub>
                    </m:sSub>
                  </m:num>
                  <m:den>
                    <m:r>
                      <m:t>h</m:t>
                    </m:r>
                  </m:den>
                </m:f>
              </m:e>
            </m:mr>
            <m:mr>
              <m:e/>
            </m:mr>
            <m:mr>
              <m:e/>
              <m:e>
                <m:r>
                  <m:t>=</m:t>
                </m:r>
                <m:f>
                  <m:fPr>
                    <m:type m:val="bar"/>
                  </m:fPr>
                  <m:num>
                    <m:r>
                      <m:t>w</m:t>
                    </m:r>
                  </m:num>
                  <m:den>
                    <m:r>
                      <m:t>(</m:t>
                    </m:r>
                    <m:r>
                      <m:t>h</m:t>
                    </m:r>
                    <m:r>
                      <m:t>+</m:t>
                    </m:r>
                    <m:r>
                      <m:t>w</m:t>
                    </m:r>
                    <m:r>
                      <m:t>)</m:t>
                    </m:r>
                  </m:den>
                </m:f>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e>
            </m:mr>
            <m:mr>
              <m:e/>
            </m:mr>
            <m:mr>
              <m:e/>
              <m:e>
                <m:r>
                  <m:t>=</m:t>
                </m:r>
                <m:d>
                  <m:dPr>
                    <m:begChr m:val="("/>
                    <m:endChr m:val=")"/>
                    <m:grow/>
                  </m:dPr>
                  <m:e>
                    <m:r>
                      <m:t>1</m:t>
                    </m:r>
                    <m:r>
                      <m:t>−</m:t>
                    </m:r>
                    <m:r>
                      <m:t>p</m:t>
                    </m:r>
                    <m:r>
                      <m:t>H</m:t>
                    </m:r>
                    <m:r>
                      <m:t>O</m:t>
                    </m:r>
                    <m:r>
                      <m:t>S</m:t>
                    </m:r>
                  </m:e>
                </m:d>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r>
                  <m:t>,</m:t>
                </m:r>
              </m:e>
            </m:mr>
          </m:m>
        </m:oMath>
      </m:oMathPara>
    </w:p>
    <w:p>
      <w:pPr>
        <w:pStyle w:val="FirstParagraph"/>
      </w:pPr>
      <w:r>
        <w:t xml:space="preserve">which is a combination of the estimate of</w:t>
      </w:r>
      <w:r>
        <w:t xml:space="preserve"> </w:t>
      </w:r>
      <w:r>
        <w:rPr>
          <w:i/>
        </w:rPr>
        <w:t xml:space="preserve">pHOS</w:t>
      </w:r>
      <w:r>
        <w:t xml:space="preserve">, the CV of the estimate of wild fish and the CV of the estimate of hatchery fish. This CV can easily be translated back to a standard error of</w:t>
      </w:r>
      <w:r>
        <w:t xml:space="preserve"> </w:t>
      </w:r>
      <w:r>
        <w:rPr>
          <w:i/>
        </w:rPr>
        <w:t xml:space="preserve">pHOS</w:t>
      </w:r>
      <w:r>
        <w:t xml:space="preserve"> </w:t>
      </w:r>
      <w:r>
        <w:t xml:space="preserve">as well, but is still based on those three numbers. In other words, we can predict the CV (or SE) of</w:t>
      </w:r>
      <w:r>
        <w:t xml:space="preserve"> </w:t>
      </w:r>
      <w:r>
        <w:rPr>
          <w:i/>
        </w:rPr>
        <w:t xml:space="preserve">pHOS</w:t>
      </w:r>
      <w:r>
        <w:t xml:space="preserve"> </w:t>
      </w:r>
      <w:r>
        <w:t xml:space="preserve">for a variety of situations for a given branch</w:t>
      </w:r>
      <w:r>
        <w:t xml:space="preserve"> </w:t>
      </w:r>
      <m:oMath>
        <m:r>
          <m:t>i</m:t>
        </m:r>
      </m:oMath>
      <w:r>
        <w:t xml:space="preserve"> </w:t>
      </w:r>
      <w:r>
        <w:t xml:space="preserve">by varying the levels of</w:t>
      </w:r>
      <w:r>
        <w:t xml:space="preserve"> </w:t>
      </w:r>
      <w:r>
        <w:rPr>
          <w:i/>
        </w:rPr>
        <w:t xml:space="preserve">pHOS</w:t>
      </w:r>
      <w:r>
        <w:t xml:space="preserve"> </w:t>
      </w:r>
      <w:r>
        <w:t xml:space="preserve">in a stream, and the precision (or CV) of our escapement estimates of wild and hatchery fish in branch</w:t>
      </w:r>
      <w:r>
        <w:t xml:space="preserve"> </w:t>
      </w:r>
      <m:oMath>
        <m:r>
          <m:t>i</m:t>
        </m:r>
      </m:oMath>
      <w:r>
        <w:t xml:space="preserve">. We simulated branches with</w:t>
      </w:r>
      <w:r>
        <w:t xml:space="preserve"> </w:t>
      </w:r>
      <w:r>
        <w:rPr>
          <w:i/>
        </w:rPr>
        <w:t xml:space="preserve">pHOS</w:t>
      </w:r>
      <w:r>
        <w:t xml:space="preserve"> </w:t>
      </w:r>
      <w:r>
        <w:t xml:space="preserve">levels ranging from 0 to 1, and precision of wild and hatchery escapement containing CVs of 0 to 1.5. We then calculated the predicted CV and SE of</w:t>
      </w:r>
      <w:r>
        <w:t xml:space="preserve"> </w:t>
      </w:r>
      <w:r>
        <w:rPr>
          <w:i/>
        </w:rPr>
        <w:t xml:space="preserve">pHOS</w:t>
      </w:r>
      <w:r>
        <w:t xml:space="preserve"> </w:t>
      </w:r>
      <w:r>
        <w:t xml:space="preserve">from those values, and compared the standard error to various thresholds. For each combination of</w:t>
      </w:r>
      <w:r>
        <w:t xml:space="preserve"> </w:t>
      </w:r>
      <w:r>
        <w:rPr>
          <w:i/>
        </w:rPr>
        <w:t xml:space="preserve">pHOS</w:t>
      </w:r>
      <w:r>
        <w:t xml:space="preserve"> </w:t>
      </w:r>
      <w:r>
        <w:t xml:space="preserve">and wild escapement precision, we extracted the maximum hatchery escapement CV that would allow us to meet or exceed the various thresholds for the</w:t>
      </w:r>
      <w:r>
        <w:t xml:space="preserve"> </w:t>
      </w:r>
      <w:r>
        <w:rPr>
          <w:i/>
        </w:rPr>
        <w:t xml:space="preserve">pHOS</w:t>
      </w:r>
      <w:r>
        <w:t xml:space="preserve"> </w:t>
      </w:r>
      <w:r>
        <w:t xml:space="preserve">standard error.</w:t>
      </w:r>
    </w:p>
    <w:p>
      <w:pPr>
        <w:pStyle w:val="Heading4"/>
      </w:pPr>
      <w:bookmarkStart w:id="30" w:name="simulation"/>
      <w:bookmarkEnd w:id="30"/>
      <w:r>
        <w:t xml:space="preserve">Simulation</w:t>
      </w:r>
    </w:p>
    <w:p>
      <w:pPr>
        <w:pStyle w:val="FirstParagraph"/>
      </w:pPr>
      <w:r>
        <w:t xml:space="preserve">From the DABOM estimates of wild escapement for spawn years 2013-2019, we first calculated the average CV of the wild abundance estimate for each population where IPTDS infrastructure is in place for population monitoring. We chose 2013 as the first year as IPTDS infrastructure in the SRB has been relatively stable since then (See et al. 2019). The average CVs of the wild estimates for each population show us where we fall on the x-axis in Figure 1. We then used the average estimate of</w:t>
      </w:r>
      <w:r>
        <w:t xml:space="preserve"> </w:t>
      </w:r>
      <w:r>
        <w:rPr>
          <w:i/>
        </w:rPr>
        <w:t xml:space="preserve">pHOS</w:t>
      </w:r>
      <w:r>
        <w:t xml:space="preserve"> </w:t>
      </w:r>
      <w:r>
        <w:t xml:space="preserve">from Table 4 for each population to determine where on the y-axis we are for each population. This assumes that the only hatchery fish on the spawning grounds within those populations are unclipped (HNC).</w:t>
      </w:r>
    </w:p>
    <w:p>
      <w:pPr>
        <w:pStyle w:val="BodyText"/>
      </w:pPr>
      <w:r>
        <w:t xml:space="preserve">If we know where on Figure 1 most CVs of wild escapement among Snake River populations lie, and some estimate of</w:t>
      </w:r>
      <w:r>
        <w:t xml:space="preserve"> </w:t>
      </w:r>
      <w:r>
        <w:rPr>
          <w:i/>
        </w:rPr>
        <w:t xml:space="preserve">pHOS</w:t>
      </w:r>
      <w:r>
        <w:t xml:space="preserve"> </w:t>
      </w:r>
      <w:r>
        <w:t xml:space="preserve">for those populations, this will tell us the maximum CV of hatchery escapement we can obtain to still provide an estimate of</w:t>
      </w:r>
      <w:r>
        <w:t xml:space="preserve"> </w:t>
      </w:r>
      <w:r>
        <w:rPr>
          <w:i/>
        </w:rPr>
        <w:t xml:space="preserve">pHOS</w:t>
      </w:r>
      <w:r>
        <w:t xml:space="preserve"> </w:t>
      </w:r>
      <w:r>
        <w:t xml:space="preserve">with a standard error below a particular threshold. Finally, we can then translate that hatchery escapement CV into a number of tags we’d like to detect in each population. Here, we will focus on steelhead TRT populations with a proposed status of</w:t>
      </w:r>
      <w:r>
        <w:t xml:space="preserve"> </w:t>
      </w:r>
      <w:r>
        <w:t xml:space="preserve">“</w:t>
      </w:r>
      <w:r>
        <w:t xml:space="preserve">Viable</w:t>
      </w:r>
      <w:r>
        <w:t xml:space="preserve">”</w:t>
      </w:r>
      <w:r>
        <w:t xml:space="preserve"> </w:t>
      </w:r>
      <w:r>
        <w:t xml:space="preserve">or</w:t>
      </w:r>
      <w:r>
        <w:t xml:space="preserve"> </w:t>
      </w:r>
      <w:r>
        <w:t xml:space="preserve">“</w:t>
      </w:r>
      <w:r>
        <w:t xml:space="preserve">Highly Viable</w:t>
      </w:r>
      <w:r>
        <w:t xml:space="preserve">”</w:t>
      </w:r>
      <w:r>
        <w:t xml:space="preserve"> </w:t>
      </w:r>
      <w:r>
        <w:t xml:space="preserve">which includes the following: South Fork Salmon R, Lower Middle Fork Salmon R, Upper Middle Fork Salmon R, Chamberlain Cr, North Fork Salmon R, Lemhi R, Lower Mainstem Clearwater, Selway R, Lochsa R, Imnah R., Lower Grande Ronde, Joseph Cr, Wallowa River, Upper Grande Ronde R., Asotin Cr, Tucannon R.</w:t>
      </w:r>
    </w:p>
    <w:p>
      <w:pPr>
        <w:pStyle w:val="BodyText"/>
      </w:pPr>
      <w:r>
        <w:t xml:space="preserve">We also have information showing the percentage of hatchery adults, tagged as juveniles, that are detected within</w:t>
      </w:r>
      <w:r>
        <w:t xml:space="preserve"> </w:t>
      </w:r>
      <w:r>
        <w:t xml:space="preserve">‘</w:t>
      </w:r>
      <w:r>
        <w:t xml:space="preserve">recipient populations</w:t>
      </w:r>
      <w:r>
        <w:t xml:space="preserve">’</w:t>
      </w:r>
      <w:r>
        <w:t xml:space="preserve"> </w:t>
      </w:r>
      <w:r>
        <w:t xml:space="preserve">out of all the hatchery tags that are detected at LGR (and summarized by release groups; Brian Leth, IDFG, personal communication). We will divide the number of detections we require for each population by these percentages (Table 5) to determine how many tags we would expect to need to put out at Lower Granite in order to achieve determined precision goals. There are several populations that have never had an observed stray, so we will not be able to include them in the subsequent analysis (South Fork Salmon, Grande Ronde River, Selway, Lochsa).</w:t>
      </w:r>
    </w:p>
    <w:p>
      <w:pPr>
        <w:pStyle w:val="BodyText"/>
      </w:pPr>
      <w:r>
        <w:t xml:space="preserve">Table 5: The percentage of hatchery steelhead adults, tagged as juveniles, observed straying into recipient populations from all those tags passing Lower Granite Dam, summarized by release groups. Note all values in table are expressed as a percentage.</w:t>
      </w:r>
    </w:p>
    <w:tbl>
      <w:tblPr>
        <w:tblStyle w:val="TableNormal"/>
        <w:tblW w:type="pct" w:w="4999.999999999999"/>
        <w:tblLook w:firstRow="1"/>
      </w:tblPr>
      <w:tblGrid>
        <w:gridCol w:w="807"/>
        <w:gridCol w:w="465"/>
        <w:gridCol w:w="372"/>
        <w:gridCol w:w="310"/>
        <w:gridCol w:w="621"/>
        <w:gridCol w:w="652"/>
        <w:gridCol w:w="621"/>
        <w:gridCol w:w="465"/>
        <w:gridCol w:w="652"/>
        <w:gridCol w:w="590"/>
        <w:gridCol w:w="372"/>
        <w:gridCol w:w="559"/>
        <w:gridCol w:w="279"/>
        <w:gridCol w:w="279"/>
        <w:gridCol w:w="528"/>
        <w:gridCol w:w="341"/>
      </w:tblGrid>
      <w:tr>
        <w:trPr>
          <w:cnfStyle w:firstRow="1"/>
        </w:trPr>
        <w:tc>
          <w:tcPr>
            <w:tcBorders>
              <w:bottom w:val="single"/>
            </w:tcBorders>
            <w:vAlign w:val="bottom"/>
          </w:tcPr>
          <w:p>
            <w:pPr>
              <w:pStyle w:val="Compact"/>
              <w:jc w:val="center"/>
            </w:pPr>
            <w:r>
              <w:t xml:space="preserve">Release Group</w:t>
            </w:r>
          </w:p>
        </w:tc>
        <w:tc>
          <w:tcPr>
            <w:tcBorders>
              <w:bottom w:val="single"/>
            </w:tcBorders>
            <w:vAlign w:val="bottom"/>
          </w:tcPr>
          <w:p>
            <w:pPr>
              <w:pStyle w:val="Compact"/>
              <w:jc w:val="center"/>
            </w:pPr>
            <w:r>
              <w:t xml:space="preserve">Upper Salmon</w:t>
            </w:r>
          </w:p>
        </w:tc>
        <w:tc>
          <w:tcPr>
            <w:tcBorders>
              <w:bottom w:val="single"/>
            </w:tcBorders>
            <w:vAlign w:val="bottom"/>
          </w:tcPr>
          <w:p>
            <w:pPr>
              <w:pStyle w:val="Compact"/>
              <w:jc w:val="center"/>
            </w:pPr>
            <w:r>
              <w:t xml:space="preserve">Pahsim.</w:t>
            </w:r>
          </w:p>
        </w:tc>
        <w:tc>
          <w:tcPr>
            <w:tcBorders>
              <w:bottom w:val="single"/>
            </w:tcBorders>
            <w:vAlign w:val="bottom"/>
          </w:tcPr>
          <w:p>
            <w:pPr>
              <w:pStyle w:val="Compact"/>
              <w:jc w:val="center"/>
            </w:pPr>
            <w:r>
              <w:t xml:space="preserve">Lemhi</w:t>
            </w:r>
          </w:p>
        </w:tc>
        <w:tc>
          <w:tcPr>
            <w:tcBorders>
              <w:bottom w:val="single"/>
            </w:tcBorders>
            <w:vAlign w:val="bottom"/>
          </w:tcPr>
          <w:p>
            <w:pPr>
              <w:pStyle w:val="Compact"/>
              <w:jc w:val="center"/>
            </w:pPr>
            <w:r>
              <w:t xml:space="preserve">North Fork Salmon</w:t>
            </w:r>
          </w:p>
        </w:tc>
        <w:tc>
          <w:tcPr>
            <w:tcBorders>
              <w:bottom w:val="single"/>
            </w:tcBorders>
            <w:vAlign w:val="bottom"/>
          </w:tcPr>
          <w:p>
            <w:pPr>
              <w:pStyle w:val="Compact"/>
              <w:jc w:val="center"/>
            </w:pPr>
            <w:r>
              <w:t xml:space="preserve">Middle Fork Salmon</w:t>
            </w:r>
          </w:p>
        </w:tc>
        <w:tc>
          <w:tcPr>
            <w:tcBorders>
              <w:bottom w:val="single"/>
            </w:tcBorders>
            <w:vAlign w:val="bottom"/>
          </w:tcPr>
          <w:p>
            <w:pPr>
              <w:pStyle w:val="Compact"/>
              <w:jc w:val="center"/>
            </w:pPr>
            <w:r>
              <w:t xml:space="preserve">South Fork Salmon</w:t>
            </w:r>
          </w:p>
        </w:tc>
        <w:tc>
          <w:tcPr>
            <w:tcBorders>
              <w:bottom w:val="single"/>
            </w:tcBorders>
            <w:vAlign w:val="bottom"/>
          </w:tcPr>
          <w:p>
            <w:pPr>
              <w:pStyle w:val="Compact"/>
              <w:jc w:val="center"/>
            </w:pPr>
            <w:r>
              <w:t xml:space="preserve">Imnaha River</w:t>
            </w:r>
          </w:p>
        </w:tc>
        <w:tc>
          <w:tcPr>
            <w:tcBorders>
              <w:bottom w:val="single"/>
            </w:tcBorders>
            <w:vAlign w:val="bottom"/>
          </w:tcPr>
          <w:p>
            <w:pPr>
              <w:pStyle w:val="Compact"/>
              <w:jc w:val="center"/>
            </w:pPr>
            <w:r>
              <w:t xml:space="preserve">Grande Ronde River</w:t>
            </w:r>
          </w:p>
        </w:tc>
        <w:tc>
          <w:tcPr>
            <w:tcBorders>
              <w:bottom w:val="single"/>
            </w:tcBorders>
            <w:vAlign w:val="bottom"/>
          </w:tcPr>
          <w:p>
            <w:pPr>
              <w:pStyle w:val="Compact"/>
              <w:jc w:val="center"/>
            </w:pPr>
            <w:r>
              <w:t xml:space="preserve">Lower Clearwater</w:t>
            </w:r>
          </w:p>
        </w:tc>
        <w:tc>
          <w:tcPr>
            <w:tcBorders>
              <w:bottom w:val="single"/>
            </w:tcBorders>
            <w:vAlign w:val="bottom"/>
          </w:tcPr>
          <w:p>
            <w:pPr>
              <w:pStyle w:val="Compact"/>
              <w:jc w:val="center"/>
            </w:pPr>
            <w:r>
              <w:t xml:space="preserve">Lolo</w:t>
            </w:r>
          </w:p>
        </w:tc>
        <w:tc>
          <w:tcPr>
            <w:tcBorders>
              <w:bottom w:val="single"/>
            </w:tcBorders>
            <w:vAlign w:val="bottom"/>
          </w:tcPr>
          <w:p>
            <w:pPr>
              <w:pStyle w:val="Compact"/>
              <w:jc w:val="center"/>
            </w:pPr>
            <w:r>
              <w:t xml:space="preserve">S.F. Clearwater</w:t>
            </w:r>
          </w:p>
        </w:tc>
        <w:tc>
          <w:tcPr>
            <w:tcBorders>
              <w:bottom w:val="single"/>
            </w:tcBorders>
            <w:vAlign w:val="bottom"/>
          </w:tcPr>
          <w:p>
            <w:pPr>
              <w:pStyle w:val="Compact"/>
              <w:jc w:val="center"/>
            </w:pPr>
            <w:r>
              <w:t xml:space="preserve">Selway</w:t>
            </w:r>
          </w:p>
        </w:tc>
        <w:tc>
          <w:tcPr>
            <w:tcBorders>
              <w:bottom w:val="single"/>
            </w:tcBorders>
            <w:vAlign w:val="bottom"/>
          </w:tcPr>
          <w:p>
            <w:pPr>
              <w:pStyle w:val="Compact"/>
              <w:jc w:val="center"/>
            </w:pPr>
            <w:r>
              <w:t xml:space="preserve">Lochsa</w:t>
            </w:r>
          </w:p>
        </w:tc>
        <w:tc>
          <w:tcPr>
            <w:tcBorders>
              <w:bottom w:val="single"/>
            </w:tcBorders>
            <w:vAlign w:val="bottom"/>
          </w:tcPr>
          <w:p>
            <w:pPr>
              <w:pStyle w:val="Compact"/>
              <w:jc w:val="center"/>
            </w:pPr>
            <w:r>
              <w:t xml:space="preserve">Lower Snake R.</w:t>
            </w:r>
          </w:p>
        </w:tc>
        <w:tc>
          <w:tcPr>
            <w:tcBorders>
              <w:bottom w:val="single"/>
            </w:tcBorders>
            <w:vAlign w:val="bottom"/>
          </w:tcPr>
          <w:p>
            <w:pPr>
              <w:pStyle w:val="Compact"/>
              <w:jc w:val="center"/>
            </w:pPr>
            <w:r>
              <w:t xml:space="preserve">Total</w:t>
            </w:r>
          </w:p>
        </w:tc>
      </w:tr>
      <w:tr>
        <w:tc>
          <w:p>
            <w:pPr>
              <w:pStyle w:val="Compact"/>
              <w:jc w:val="center"/>
            </w:pPr>
            <w:r>
              <w:t xml:space="preserve">Upper Salmon- SAW</w:t>
            </w:r>
          </w:p>
        </w:tc>
        <w:tc>
          <w:p>
            <w:pPr>
              <w:pStyle w:val="Compact"/>
              <w:jc w:val="center"/>
            </w:pPr>
            <w:r>
              <w:t xml:space="preserve">0.693</w:t>
            </w:r>
          </w:p>
        </w:tc>
        <w:tc>
          <w:p>
            <w:pPr>
              <w:pStyle w:val="Compact"/>
              <w:jc w:val="center"/>
            </w:pPr>
            <w:r>
              <w:t xml:space="preserve">0.185</w:t>
            </w:r>
          </w:p>
        </w:tc>
        <w:tc>
          <w:p>
            <w:pPr>
              <w:pStyle w:val="Compact"/>
              <w:jc w:val="center"/>
            </w:pPr>
            <w:r>
              <w:t xml:space="preserve">0.37</w:t>
            </w:r>
          </w:p>
        </w:tc>
        <w:tc>
          <w:p>
            <w:pPr>
              <w:pStyle w:val="Compact"/>
              <w:jc w:val="center"/>
            </w:pPr>
            <w:r>
              <w:t xml:space="preserve">-</w:t>
            </w:r>
          </w:p>
        </w:tc>
        <w:tc>
          <w:p>
            <w:pPr>
              <w:pStyle w:val="Compact"/>
              <w:jc w:val="center"/>
            </w:pPr>
            <w:r>
              <w:t xml:space="preserve">0.277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1.526</w:t>
            </w:r>
          </w:p>
        </w:tc>
      </w:tr>
      <w:tr>
        <w:tc>
          <w:p>
            <w:pPr>
              <w:pStyle w:val="Compact"/>
              <w:jc w:val="center"/>
            </w:pPr>
            <w:r>
              <w:t xml:space="preserve">Upper Salmon- Pah</w:t>
            </w:r>
          </w:p>
        </w:tc>
        <w:tc>
          <w:p>
            <w:pPr>
              <w:pStyle w:val="Compact"/>
              <w:jc w:val="center"/>
            </w:pPr>
            <w:r>
              <w:t xml:space="preserve">-</w:t>
            </w:r>
          </w:p>
        </w:tc>
        <w:tc>
          <w:p>
            <w:pPr>
              <w:pStyle w:val="Compact"/>
              <w:jc w:val="center"/>
            </w:pPr>
            <w:r>
              <w:t xml:space="preserve">0.2</w:t>
            </w:r>
          </w:p>
        </w:tc>
        <w:tc>
          <w:p>
            <w:pPr>
              <w:pStyle w:val="Compact"/>
              <w:jc w:val="center"/>
            </w:pPr>
            <w:r>
              <w:t xml:space="preserve">0.2</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0.05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0.651</w:t>
            </w:r>
          </w:p>
        </w:tc>
      </w:tr>
      <w:tr>
        <w:tc>
          <w:p>
            <w:pPr>
              <w:pStyle w:val="Compact"/>
              <w:jc w:val="center"/>
            </w:pPr>
            <w:r>
              <w:t xml:space="preserve">Upper Salmon-EF</w:t>
            </w:r>
          </w:p>
        </w:tc>
        <w:tc>
          <w:p>
            <w:pPr>
              <w:pStyle w:val="Compact"/>
              <w:jc w:val="center"/>
            </w:pPr>
            <w:r>
              <w:t xml:space="preserve">-</w:t>
            </w:r>
          </w:p>
        </w:tc>
        <w:tc>
          <w:p>
            <w:pPr>
              <w:pStyle w:val="Compact"/>
              <w:jc w:val="center"/>
            </w:pPr>
            <w:r>
              <w:t xml:space="preserve">0.234</w:t>
            </w:r>
          </w:p>
        </w:tc>
        <w:tc>
          <w:p>
            <w:pPr>
              <w:pStyle w:val="Compact"/>
              <w:jc w:val="center"/>
            </w:pPr>
            <w:r>
              <w:t xml:space="preserve">0.234</w:t>
            </w:r>
          </w:p>
        </w:tc>
        <w:tc>
          <w:p>
            <w:pPr>
              <w:pStyle w:val="Compact"/>
              <w:jc w:val="center"/>
            </w:pPr>
            <w:r>
              <w:t xml:space="preserve">0.234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0.703</w:t>
            </w:r>
          </w:p>
        </w:tc>
      </w:tr>
      <w:tr>
        <w:tc>
          <w:p>
            <w:pPr>
              <w:pStyle w:val="Compact"/>
              <w:jc w:val="center"/>
            </w:pPr>
            <w:r>
              <w:t xml:space="preserve">Upper Salmon- DWOR/USR</w:t>
            </w:r>
          </w:p>
        </w:tc>
        <w:tc>
          <w:p>
            <w:pPr>
              <w:pStyle w:val="Compact"/>
              <w:jc w:val="center"/>
            </w:pPr>
            <w:r>
              <w:t xml:space="preserve">-</w:t>
            </w:r>
          </w:p>
        </w:tc>
        <w:tc>
          <w:p>
            <w:pPr>
              <w:pStyle w:val="Compact"/>
              <w:jc w:val="center"/>
            </w:pPr>
            <w:r>
              <w:t xml:space="preserve">-</w:t>
            </w:r>
          </w:p>
        </w:tc>
        <w:tc>
          <w:p>
            <w:pPr>
              <w:pStyle w:val="Compact"/>
              <w:jc w:val="center"/>
            </w:pPr>
            <w:r>
              <w:t xml:space="preserve">1.218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0.152</w:t>
            </w:r>
          </w:p>
        </w:tc>
        <w:tc>
          <w:p>
            <w:pPr>
              <w:pStyle w:val="Compact"/>
              <w:jc w:val="center"/>
            </w:pPr>
            <w:r>
              <w:rPr>
                <w:b/>
              </w:rPr>
              <w:t xml:space="preserve">1.37</w:t>
            </w:r>
          </w:p>
        </w:tc>
      </w:tr>
      <w:tr>
        <w:tc>
          <w:p>
            <w:pPr>
              <w:pStyle w:val="Compact"/>
              <w:jc w:val="center"/>
            </w:pPr>
            <w:r>
              <w:t xml:space="preserve">Little Salmon-SAW/PAH</w:t>
            </w:r>
          </w:p>
        </w:tc>
        <w:tc>
          <w:p>
            <w:pPr>
              <w:pStyle w:val="Compact"/>
              <w:jc w:val="center"/>
            </w:pPr>
            <w:r>
              <w:t xml:space="preserve">0.163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0.163</w:t>
            </w:r>
          </w:p>
        </w:tc>
        <w:tc>
          <w:p>
            <w:pPr>
              <w:pStyle w:val="Compact"/>
              <w:jc w:val="center"/>
            </w:pPr>
            <w:r>
              <w:rPr>
                <w:b/>
              </w:rPr>
              <w:t xml:space="preserve">0.407</w:t>
            </w:r>
          </w:p>
        </w:tc>
      </w:tr>
      <w:tr>
        <w:tc>
          <w:p>
            <w:pPr>
              <w:pStyle w:val="Compact"/>
              <w:jc w:val="center"/>
            </w:pPr>
            <w:r>
              <w:t xml:space="preserve">Little Salmon- DWOR/USR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Hells Canyon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DNFH/Clearwater FH-SF</w:t>
            </w:r>
            <w:r>
              <w:t xml:space="preserve"> </w:t>
            </w:r>
            <w:r>
              <w:t xml:space="preserve">Clearwater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0.069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0.069</w:t>
            </w:r>
          </w:p>
        </w:tc>
      </w:tr>
      <w:tr>
        <w:tc>
          <w:p>
            <w:pPr>
              <w:pStyle w:val="Compact"/>
              <w:jc w:val="center"/>
            </w:pPr>
            <w:r>
              <w:t xml:space="preserve">DNFH-NF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0.157</w:t>
            </w:r>
          </w:p>
        </w:tc>
        <w:tc>
          <w:p>
            <w:pPr>
              <w:pStyle w:val="Compact"/>
              <w:jc w:val="center"/>
            </w:pPr>
            <w:r>
              <w:t xml:space="preserve">0.157</w:t>
            </w:r>
          </w:p>
        </w:tc>
        <w:tc>
          <w:p>
            <w:pPr>
              <w:pStyle w:val="Compact"/>
              <w:jc w:val="center"/>
            </w:pPr>
            <w:r>
              <w:t xml:space="preserve">0.079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0.394</w:t>
            </w:r>
          </w:p>
        </w:tc>
      </w:tr>
      <w:tr>
        <w:tc>
          <w:p>
            <w:pPr>
              <w:pStyle w:val="Compact"/>
              <w:jc w:val="center"/>
            </w:pPr>
            <w:r>
              <w:t xml:space="preserve">DNFH/CLWH-Lolo/Clear Cr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0.274</w:t>
            </w:r>
          </w:p>
        </w:tc>
        <w:tc>
          <w:p>
            <w:pPr>
              <w:pStyle w:val="Compact"/>
              <w:jc w:val="center"/>
            </w:pPr>
            <w:r>
              <w:t xml:space="preserve">3.288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3.562</w:t>
            </w:r>
          </w:p>
        </w:tc>
      </w:tr>
      <w:tr>
        <w:tc>
          <w:p>
            <w:pPr>
              <w:pStyle w:val="Compact"/>
              <w:jc w:val="center"/>
            </w:pPr>
            <w:r>
              <w:rPr>
                <w:b/>
              </w:rPr>
              <w:t xml:space="preserve">Weighted Average</w:t>
            </w:r>
          </w:p>
        </w:tc>
        <w:tc>
          <w:p>
            <w:pPr>
              <w:pStyle w:val="Compact"/>
              <w:jc w:val="center"/>
            </w:pPr>
            <w:r>
              <w:rPr>
                <w:b/>
              </w:rPr>
              <w:t xml:space="preserve">0.162</w:t>
            </w:r>
          </w:p>
        </w:tc>
        <w:tc>
          <w:p>
            <w:pPr>
              <w:pStyle w:val="Compact"/>
              <w:jc w:val="center"/>
            </w:pPr>
            <w:r>
              <w:rPr>
                <w:b/>
              </w:rPr>
              <w:t xml:space="preserve">0.086</w:t>
            </w:r>
          </w:p>
        </w:tc>
        <w:tc>
          <w:p>
            <w:pPr>
              <w:pStyle w:val="Compact"/>
              <w:jc w:val="center"/>
            </w:pPr>
            <w:r>
              <w:rPr>
                <w:b/>
              </w:rPr>
              <w:t xml:space="preserve">0.2</w:t>
            </w:r>
          </w:p>
        </w:tc>
        <w:tc>
          <w:p>
            <w:pPr>
              <w:pStyle w:val="Compact"/>
              <w:jc w:val="center"/>
            </w:pPr>
            <w:r>
              <w:rPr>
                <w:b/>
              </w:rPr>
              <w:t xml:space="preserve">0.029</w:t>
            </w:r>
          </w:p>
        </w:tc>
        <w:tc>
          <w:p>
            <w:pPr>
              <w:pStyle w:val="Compact"/>
              <w:jc w:val="center"/>
            </w:pPr>
            <w:r>
              <w:rPr>
                <w:b/>
              </w:rPr>
              <w:t xml:space="preserve">0.057</w:t>
            </w:r>
          </w:p>
        </w:tc>
        <w:tc>
          <w:p>
            <w:pPr>
              <w:pStyle w:val="Compact"/>
              <w:jc w:val="center"/>
            </w:pPr>
            <w:r>
              <w:rPr>
                <w:b/>
              </w:rPr>
              <w:t xml:space="preserve">0</w:t>
            </w:r>
          </w:p>
        </w:tc>
        <w:tc>
          <w:p>
            <w:pPr>
              <w:pStyle w:val="Compact"/>
              <w:jc w:val="center"/>
            </w:pPr>
            <w:r>
              <w:rPr>
                <w:b/>
              </w:rPr>
              <w:t xml:space="preserve">0.019</w:t>
            </w:r>
          </w:p>
        </w:tc>
        <w:tc>
          <w:p>
            <w:pPr>
              <w:pStyle w:val="Compact"/>
              <w:jc w:val="center"/>
            </w:pPr>
            <w:r>
              <w:rPr>
                <w:b/>
              </w:rPr>
              <w:t xml:space="preserve">0</w:t>
            </w:r>
          </w:p>
        </w:tc>
        <w:tc>
          <w:p>
            <w:pPr>
              <w:pStyle w:val="Compact"/>
              <w:jc w:val="center"/>
            </w:pPr>
            <w:r>
              <w:rPr>
                <w:b/>
              </w:rPr>
              <w:t xml:space="preserve">0.029</w:t>
            </w:r>
          </w:p>
        </w:tc>
        <w:tc>
          <w:p>
            <w:pPr>
              <w:pStyle w:val="Compact"/>
              <w:jc w:val="center"/>
            </w:pPr>
            <w:r>
              <w:rPr>
                <w:b/>
              </w:rPr>
              <w:t xml:space="preserve">0.029</w:t>
            </w:r>
          </w:p>
        </w:tc>
        <w:tc>
          <w:p>
            <w:pPr>
              <w:pStyle w:val="Compact"/>
              <w:jc w:val="center"/>
            </w:pPr>
            <w:r>
              <w:rPr>
                <w:b/>
              </w:rPr>
              <w:t xml:space="preserve">0.124</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0.048</w:t>
            </w:r>
          </w:p>
        </w:tc>
        <w:tc>
          <w:p>
            <w:pPr>
              <w:pStyle w:val="Compact"/>
              <w:jc w:val="center"/>
            </w:pPr>
            <w:r>
              <w:rPr>
                <w:b/>
              </w:rPr>
              <w:t xml:space="preserve">0.779</w:t>
            </w:r>
          </w:p>
        </w:tc>
      </w:tr>
    </w:tbl>
    <w:p>
      <w:pPr>
        <w:pStyle w:val="Heading1"/>
      </w:pPr>
      <w:bookmarkStart w:id="31" w:name="results"/>
      <w:bookmarkEnd w:id="31"/>
      <w:r>
        <w:t xml:space="preserve">Results</w:t>
      </w:r>
    </w:p>
    <w:p>
      <w:pPr>
        <w:pStyle w:val="Heading3"/>
      </w:pPr>
      <w:bookmarkStart w:id="32" w:name="section-1.-expected-precision-of-phos-given-current-pit-tagging-of-hatchery-smolt-releases-1"/>
      <w:bookmarkEnd w:id="32"/>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Table 3 summarizes hatchery, wild, and total abundance estimates and the corresponding</w:t>
      </w:r>
      <w:r>
        <w:t xml:space="preserve"> </w:t>
      </w:r>
      <w:r>
        <w:rPr>
          <w:i/>
        </w:rPr>
        <w:t xml:space="preserve">pHOS</w:t>
      </w:r>
      <w:r>
        <w:t xml:space="preserve"> </w:t>
      </w:r>
      <w:r>
        <w:t xml:space="preserve">estimates for locations and spawn years in which there were IPTDS observations of hatchery adults from RTR smolt releases. Wild abundance estimates are from the DABOM model whereas hatchery abundance estimates are using the expansion approach outlined above. Table 3 also includes the number of hatchery and wild tags observed and the CV of the wild abundance estimates for context. Unfortunately, we are currently unable to estimate uncertainty in hatchery abundance, and thus, unable to estimate uncertainty in</w:t>
      </w:r>
      <w:r>
        <w:t xml:space="preserve"> </w:t>
      </w:r>
      <w:r>
        <w:rPr>
          <w:i/>
        </w:rPr>
        <w:t xml:space="preserve">pHOS</w:t>
      </w:r>
      <w:r>
        <w:t xml:space="preserve"> </w:t>
      </w:r>
      <w:r>
        <w:t xml:space="preserve">using this approach. To do so, we would have to identify and estimate sources of uncertainty in the hatchery abundance estimates; uncertainty in the tagging fraction (i.e., expansion value) would be one such example.</w:t>
      </w:r>
    </w:p>
    <w:p>
      <w:pPr>
        <w:pStyle w:val="Compact"/>
      </w:pPr>
      <w:r>
        <w:t xml:space="preserve">Table 3: Hatchery, wild, and total abundance estimates and associated pHOS estimates for location x spawn year combinations with hatchery observations from smolt releases in the Snake River Basin.</w:t>
      </w:r>
    </w:p>
    <w:tbl>
      <w:tblPr>
        <w:tblStyle w:val="TableNormal"/>
        <w:tblW w:type="pct" w:w="5000.0"/>
        <w:tblLook w:firstRow="1"/>
      </w:tblPr>
      <w:tblGrid>
        <w:gridCol w:w="474"/>
        <w:gridCol w:w="616"/>
        <w:gridCol w:w="901"/>
        <w:gridCol w:w="379"/>
        <w:gridCol w:w="379"/>
        <w:gridCol w:w="379"/>
        <w:gridCol w:w="331"/>
        <w:gridCol w:w="331"/>
        <w:gridCol w:w="995"/>
        <w:gridCol w:w="711"/>
        <w:gridCol w:w="806"/>
        <w:gridCol w:w="426"/>
        <w:gridCol w:w="853"/>
        <w:gridCol w:w="331"/>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n. Tags Hatchery</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Hatchery Abundance</w:t>
            </w:r>
          </w:p>
        </w:tc>
        <w:tc>
          <w:tcPr>
            <w:tcBorders>
              <w:bottom w:val="single"/>
            </w:tcBorders>
            <w:vAlign w:val="bottom"/>
          </w:tcPr>
          <w:p>
            <w:pPr>
              <w:pStyle w:val="Compact"/>
              <w:jc w:val="center"/>
            </w:pPr>
            <w:r>
              <w:t xml:space="preserve">n. Tags Wild</w:t>
            </w:r>
          </w:p>
        </w:tc>
        <w:tc>
          <w:tcPr>
            <w:tcBorders>
              <w:bottom w:val="single"/>
            </w:tcBorders>
            <w:vAlign w:val="bottom"/>
          </w:tcPr>
          <w:p>
            <w:pPr>
              <w:pStyle w:val="Compact"/>
              <w:jc w:val="center"/>
            </w:pPr>
            <w:r>
              <w:t xml:space="preserve">Wild Abundance</w:t>
            </w:r>
          </w:p>
        </w:tc>
        <w:tc>
          <w:tcPr>
            <w:tcBorders>
              <w:bottom w:val="single"/>
            </w:tcBorders>
            <w:vAlign w:val="bottom"/>
          </w:tcPr>
          <w:p>
            <w:pPr>
              <w:pStyle w:val="Compact"/>
              <w:jc w:val="center"/>
            </w:pPr>
            <w:r>
              <w:t xml:space="preserve">CV (%)</w:t>
            </w:r>
          </w:p>
        </w:tc>
        <w:tc>
          <w:tcPr>
            <w:tcBorders>
              <w:bottom w:val="single"/>
            </w:tcBorders>
            <w:vAlign w:val="bottom"/>
          </w:tcPr>
          <w:p>
            <w:pPr>
              <w:pStyle w:val="Compact"/>
              <w:jc w:val="center"/>
            </w:pPr>
            <w:r>
              <w:t xml:space="preserve">Total Abundance</w:t>
            </w:r>
          </w:p>
        </w:tc>
        <w:tc>
          <w:tcPr>
            <w:tcBorders>
              <w:bottom w:val="single"/>
            </w:tcBorders>
            <w:vAlign w:val="bottom"/>
          </w:tcPr>
          <w:p>
            <w:pPr>
              <w:pStyle w:val="Compact"/>
              <w:jc w:val="center"/>
            </w:pPr>
            <w:r>
              <w:t xml:space="preserve">pHOS</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w:t>
            </w:r>
          </w:p>
        </w:tc>
        <w:tc>
          <w:p>
            <w:pPr>
              <w:pStyle w:val="Compact"/>
              <w:jc w:val="center"/>
            </w:pPr>
            <w:r>
              <w:t xml:space="preserve">52</w:t>
            </w:r>
          </w:p>
        </w:tc>
        <w:tc>
          <w:p>
            <w:pPr>
              <w:pStyle w:val="Compact"/>
              <w:jc w:val="center"/>
            </w:pPr>
            <w:r>
              <w:t xml:space="preserve">272</w:t>
            </w:r>
          </w:p>
        </w:tc>
        <w:tc>
          <w:p>
            <w:pPr>
              <w:pStyle w:val="Compact"/>
              <w:jc w:val="center"/>
            </w:pPr>
            <w:r>
              <w:t xml:space="preserve">7.5</w:t>
            </w:r>
          </w:p>
        </w:tc>
        <w:tc>
          <w:p>
            <w:pPr>
              <w:pStyle w:val="Compact"/>
              <w:jc w:val="center"/>
            </w:pPr>
            <w:r>
              <w:t xml:space="preserve">349</w:t>
            </w:r>
          </w:p>
        </w:tc>
        <w:tc>
          <w:p>
            <w:pPr>
              <w:pStyle w:val="Compact"/>
              <w:jc w:val="center"/>
            </w:pPr>
            <w:r>
              <w:t xml:space="preserve">0.221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14</w:t>
            </w:r>
          </w:p>
        </w:tc>
        <w:tc>
          <w:p>
            <w:pPr>
              <w:pStyle w:val="Compact"/>
              <w:jc w:val="center"/>
            </w:pPr>
            <w:r>
              <w:t xml:space="preserve">-</w:t>
            </w:r>
          </w:p>
        </w:tc>
        <w:tc>
          <w:p>
            <w:pPr>
              <w:pStyle w:val="Compact"/>
              <w:jc w:val="center"/>
            </w:pPr>
            <w:r>
              <w:t xml:space="preserve">992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992</w:t>
            </w:r>
          </w:p>
        </w:tc>
        <w:tc>
          <w:p>
            <w:pPr>
              <w:pStyle w:val="Compact"/>
              <w:jc w:val="center"/>
            </w:pPr>
            <w:r>
              <w:t xml:space="preserve">23</w:t>
            </w:r>
          </w:p>
        </w:tc>
        <w:tc>
          <w:p>
            <w:pPr>
              <w:pStyle w:val="Compact"/>
              <w:jc w:val="center"/>
            </w:pPr>
            <w:r>
              <w:t xml:space="preserve">125</w:t>
            </w:r>
          </w:p>
        </w:tc>
        <w:tc>
          <w:p>
            <w:pPr>
              <w:pStyle w:val="Compact"/>
              <w:jc w:val="center"/>
            </w:pPr>
            <w:r>
              <w:t xml:space="preserve">10.6</w:t>
            </w:r>
          </w:p>
        </w:tc>
        <w:tc>
          <w:p>
            <w:pPr>
              <w:pStyle w:val="Compact"/>
              <w:jc w:val="center"/>
            </w:pPr>
            <w:r>
              <w:t xml:space="preserve">1,117</w:t>
            </w:r>
          </w:p>
        </w:tc>
        <w:tc>
          <w:p>
            <w:pPr>
              <w:pStyle w:val="Compact"/>
              <w:jc w:val="center"/>
            </w:pPr>
            <w:r>
              <w:t xml:space="preserve">0.888</w:t>
            </w:r>
          </w:p>
        </w:tc>
      </w:tr>
      <w:tr>
        <w:tc>
          <w:p>
            <w:pPr>
              <w:pStyle w:val="Compact"/>
              <w:jc w:val="center"/>
            </w:pPr>
            <w:r>
              <w:t xml:space="preserve">CRLOL-s</w:t>
            </w:r>
          </w:p>
        </w:tc>
        <w:tc>
          <w:p>
            <w:pPr>
              <w:pStyle w:val="Compact"/>
              <w:jc w:val="center"/>
            </w:pPr>
            <w:r>
              <w:t xml:space="preserve">2018</w:t>
            </w:r>
          </w:p>
        </w:tc>
        <w:tc>
          <w:p>
            <w:pPr>
              <w:pStyle w:val="Compact"/>
              <w:jc w:val="center"/>
            </w:pPr>
            <w:r>
              <w:t xml:space="preserve">6</w:t>
            </w:r>
          </w:p>
        </w:tc>
        <w:tc>
          <w:p>
            <w:pPr>
              <w:pStyle w:val="Compact"/>
              <w:jc w:val="center"/>
            </w:pPr>
            <w:r>
              <w:t xml:space="preserve">-</w:t>
            </w:r>
          </w:p>
        </w:tc>
        <w:tc>
          <w:p>
            <w:pPr>
              <w:pStyle w:val="Compact"/>
              <w:jc w:val="center"/>
            </w:pPr>
            <w:r>
              <w:t xml:space="preserve">592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592</w:t>
            </w:r>
          </w:p>
        </w:tc>
        <w:tc>
          <w:p>
            <w:pPr>
              <w:pStyle w:val="Compact"/>
              <w:jc w:val="center"/>
            </w:pPr>
            <w:r>
              <w:t xml:space="preserve">30</w:t>
            </w:r>
          </w:p>
        </w:tc>
        <w:tc>
          <w:p>
            <w:pPr>
              <w:pStyle w:val="Compact"/>
              <w:jc w:val="center"/>
            </w:pPr>
            <w:r>
              <w:t xml:space="preserve">134</w:t>
            </w:r>
          </w:p>
        </w:tc>
        <w:tc>
          <w:p>
            <w:pPr>
              <w:pStyle w:val="Compact"/>
              <w:jc w:val="center"/>
            </w:pPr>
            <w:r>
              <w:t xml:space="preserve">11.3</w:t>
            </w:r>
          </w:p>
        </w:tc>
        <w:tc>
          <w:p>
            <w:pPr>
              <w:pStyle w:val="Compact"/>
              <w:jc w:val="center"/>
            </w:pPr>
            <w:r>
              <w:t xml:space="preserve">726</w:t>
            </w:r>
          </w:p>
        </w:tc>
        <w:tc>
          <w:p>
            <w:pPr>
              <w:pStyle w:val="Compact"/>
              <w:jc w:val="center"/>
            </w:pPr>
            <w:r>
              <w:t xml:space="preserve">0.815</w:t>
            </w:r>
          </w:p>
        </w:tc>
      </w:tr>
      <w:tr>
        <w:tc>
          <w:p>
            <w:pPr>
              <w:pStyle w:val="Compact"/>
              <w:jc w:val="center"/>
            </w:pPr>
            <w:r>
              <w:t xml:space="preserve">CRLOL-s</w:t>
            </w:r>
          </w:p>
        </w:tc>
        <w:tc>
          <w:p>
            <w:pPr>
              <w:pStyle w:val="Compact"/>
              <w:jc w:val="center"/>
            </w:pPr>
            <w:r>
              <w:t xml:space="preserve">2019</w:t>
            </w:r>
          </w:p>
        </w:tc>
        <w:tc>
          <w:p>
            <w:pPr>
              <w:pStyle w:val="Compact"/>
              <w:jc w:val="center"/>
            </w:pPr>
            <w:r>
              <w:t xml:space="preserve">2</w:t>
            </w:r>
          </w:p>
        </w:tc>
        <w:tc>
          <w:p>
            <w:pPr>
              <w:pStyle w:val="Compact"/>
              <w:jc w:val="center"/>
            </w:pPr>
            <w:r>
              <w:t xml:space="preserve">-</w:t>
            </w:r>
          </w:p>
        </w:tc>
        <w:tc>
          <w:p>
            <w:pPr>
              <w:pStyle w:val="Compact"/>
              <w:jc w:val="center"/>
            </w:pPr>
            <w:r>
              <w:t xml:space="preserve">197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197</w:t>
            </w:r>
          </w:p>
        </w:tc>
        <w:tc>
          <w:p>
            <w:pPr>
              <w:pStyle w:val="Compact"/>
              <w:jc w:val="center"/>
            </w:pPr>
            <w:r>
              <w:t xml:space="preserve">16</w:t>
            </w:r>
          </w:p>
        </w:tc>
        <w:tc>
          <w:p>
            <w:pPr>
              <w:pStyle w:val="Compact"/>
              <w:jc w:val="center"/>
            </w:pPr>
            <w:r>
              <w:t xml:space="preserve">2,050</w:t>
            </w:r>
          </w:p>
        </w:tc>
        <w:tc>
          <w:p>
            <w:pPr>
              <w:pStyle w:val="Compact"/>
              <w:jc w:val="center"/>
            </w:pPr>
            <w:r>
              <w:t xml:space="preserve">38.3</w:t>
            </w:r>
          </w:p>
        </w:tc>
        <w:tc>
          <w:p>
            <w:pPr>
              <w:pStyle w:val="Compact"/>
              <w:jc w:val="center"/>
            </w:pPr>
            <w:r>
              <w:t xml:space="preserve">2,247</w:t>
            </w:r>
          </w:p>
        </w:tc>
        <w:tc>
          <w:p>
            <w:pPr>
              <w:pStyle w:val="Compact"/>
              <w:jc w:val="center"/>
            </w:pPr>
            <w:r>
              <w:t xml:space="preserve">0.088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114</w:t>
            </w:r>
          </w:p>
        </w:tc>
        <w:tc>
          <w:p>
            <w:pPr>
              <w:pStyle w:val="Compact"/>
              <w:jc w:val="center"/>
            </w:pPr>
            <w:r>
              <w:t xml:space="preserve">7,454</w:t>
            </w:r>
          </w:p>
        </w:tc>
        <w:tc>
          <w:p>
            <w:pPr>
              <w:pStyle w:val="Compact"/>
              <w:jc w:val="center"/>
            </w:pPr>
            <w:r>
              <w:t xml:space="preserve">1,372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8,826</w:t>
            </w:r>
          </w:p>
        </w:tc>
        <w:tc>
          <w:p>
            <w:pPr>
              <w:pStyle w:val="Compact"/>
              <w:jc w:val="center"/>
            </w:pPr>
            <w:r>
              <w:t xml:space="preserve">81</w:t>
            </w:r>
          </w:p>
        </w:tc>
        <w:tc>
          <w:p>
            <w:pPr>
              <w:pStyle w:val="Compact"/>
              <w:jc w:val="center"/>
            </w:pPr>
            <w:r>
              <w:t xml:space="preserve">499</w:t>
            </w:r>
          </w:p>
        </w:tc>
        <w:tc>
          <w:p>
            <w:pPr>
              <w:pStyle w:val="Compact"/>
              <w:jc w:val="center"/>
            </w:pPr>
            <w:r>
              <w:t xml:space="preserve">8.1</w:t>
            </w:r>
          </w:p>
        </w:tc>
        <w:tc>
          <w:p>
            <w:pPr>
              <w:pStyle w:val="Compact"/>
              <w:jc w:val="center"/>
            </w:pPr>
            <w:r>
              <w:t xml:space="preserve">9,325</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2018</w:t>
            </w:r>
          </w:p>
        </w:tc>
        <w:tc>
          <w:p>
            <w:pPr>
              <w:pStyle w:val="Compact"/>
              <w:jc w:val="center"/>
            </w:pPr>
            <w:r>
              <w:t xml:space="preserve">32</w:t>
            </w:r>
          </w:p>
        </w:tc>
        <w:tc>
          <w:p>
            <w:pPr>
              <w:pStyle w:val="Compact"/>
              <w:jc w:val="center"/>
            </w:pPr>
            <w:r>
              <w:t xml:space="preserve">1,558</w:t>
            </w:r>
          </w:p>
        </w:tc>
        <w:tc>
          <w:p>
            <w:pPr>
              <w:pStyle w:val="Compact"/>
              <w:jc w:val="center"/>
            </w:pPr>
            <w:r>
              <w:t xml:space="preserve">568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2,126</w:t>
            </w:r>
          </w:p>
        </w:tc>
        <w:tc>
          <w:p>
            <w:pPr>
              <w:pStyle w:val="Compact"/>
              <w:jc w:val="center"/>
            </w:pPr>
            <w:r>
              <w:t xml:space="preserve">20</w:t>
            </w:r>
          </w:p>
        </w:tc>
        <w:tc>
          <w:p>
            <w:pPr>
              <w:pStyle w:val="Compact"/>
              <w:jc w:val="center"/>
            </w:pPr>
            <w:r>
              <w:t xml:space="preserve">122</w:t>
            </w:r>
          </w:p>
        </w:tc>
        <w:tc>
          <w:p>
            <w:pPr>
              <w:pStyle w:val="Compact"/>
              <w:jc w:val="center"/>
            </w:pPr>
            <w:r>
              <w:t xml:space="preserve">13.7</w:t>
            </w:r>
          </w:p>
        </w:tc>
        <w:tc>
          <w:p>
            <w:pPr>
              <w:pStyle w:val="Compact"/>
              <w:jc w:val="center"/>
            </w:pPr>
            <w:r>
              <w:t xml:space="preserve">2,248</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2019</w:t>
            </w:r>
          </w:p>
        </w:tc>
        <w:tc>
          <w:p>
            <w:pPr>
              <w:pStyle w:val="Compact"/>
              <w:jc w:val="center"/>
            </w:pPr>
            <w:r>
              <w:t xml:space="preserve">82</w:t>
            </w:r>
          </w:p>
        </w:tc>
        <w:tc>
          <w:p>
            <w:pPr>
              <w:pStyle w:val="Compact"/>
              <w:jc w:val="center"/>
            </w:pPr>
            <w:r>
              <w:t xml:space="preserve">3,912</w:t>
            </w:r>
          </w:p>
        </w:tc>
        <w:tc>
          <w:p>
            <w:pPr>
              <w:pStyle w:val="Compact"/>
              <w:jc w:val="center"/>
            </w:pPr>
            <w:r>
              <w:t xml:space="preserve">1,298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5,210</w:t>
            </w:r>
          </w:p>
        </w:tc>
        <w:tc>
          <w:p>
            <w:pPr>
              <w:pStyle w:val="Compact"/>
              <w:jc w:val="center"/>
            </w:pPr>
            <w:r>
              <w:t xml:space="preserve">26</w:t>
            </w:r>
          </w:p>
        </w:tc>
        <w:tc>
          <w:p>
            <w:pPr>
              <w:pStyle w:val="Compact"/>
              <w:jc w:val="center"/>
            </w:pPr>
            <w:r>
              <w:t xml:space="preserve">151</w:t>
            </w:r>
          </w:p>
        </w:tc>
        <w:tc>
          <w:p>
            <w:pPr>
              <w:pStyle w:val="Compact"/>
              <w:jc w:val="center"/>
            </w:pPr>
            <w:r>
              <w:t xml:space="preserve">15.7</w:t>
            </w:r>
          </w:p>
        </w:tc>
        <w:tc>
          <w:p>
            <w:pPr>
              <w:pStyle w:val="Compact"/>
              <w:jc w:val="center"/>
            </w:pPr>
            <w:r>
              <w:t xml:space="preserve">5,361</w:t>
            </w:r>
          </w:p>
        </w:tc>
        <w:tc>
          <w:p>
            <w:pPr>
              <w:pStyle w:val="Compact"/>
              <w:jc w:val="center"/>
            </w:pPr>
            <w:r>
              <w:t xml:space="preserve">0.972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141</w:t>
            </w:r>
          </w:p>
        </w:tc>
        <w:tc>
          <w:p>
            <w:pPr>
              <w:pStyle w:val="Compact"/>
              <w:jc w:val="center"/>
            </w:pPr>
            <w:r>
              <w:t xml:space="preserve">-</w:t>
            </w:r>
          </w:p>
        </w:tc>
        <w:tc>
          <w:p>
            <w:pPr>
              <w:pStyle w:val="Compact"/>
              <w:jc w:val="center"/>
            </w:pPr>
            <w:r>
              <w:t xml:space="preserve">141</w:t>
            </w:r>
          </w:p>
        </w:tc>
        <w:tc>
          <w:p>
            <w:pPr>
              <w:pStyle w:val="Compact"/>
              <w:jc w:val="center"/>
            </w:pPr>
            <w:r>
              <w:t xml:space="preserve">155</w:t>
            </w:r>
          </w:p>
        </w:tc>
        <w:tc>
          <w:p>
            <w:pPr>
              <w:pStyle w:val="Compact"/>
              <w:jc w:val="center"/>
            </w:pPr>
            <w:r>
              <w:t xml:space="preserve">672</w:t>
            </w:r>
          </w:p>
        </w:tc>
        <w:tc>
          <w:p>
            <w:pPr>
              <w:pStyle w:val="Compact"/>
              <w:jc w:val="center"/>
            </w:pPr>
            <w:r>
              <w:t xml:space="preserve">6.2</w:t>
            </w:r>
          </w:p>
        </w:tc>
        <w:tc>
          <w:p>
            <w:pPr>
              <w:pStyle w:val="Compact"/>
              <w:jc w:val="center"/>
            </w:pPr>
            <w:r>
              <w:t xml:space="preserve">813</w:t>
            </w:r>
          </w:p>
        </w:tc>
        <w:tc>
          <w:p>
            <w:pPr>
              <w:pStyle w:val="Compact"/>
              <w:jc w:val="center"/>
            </w:pPr>
            <w:r>
              <w:t xml:space="preserve">0.173</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32</w:t>
            </w:r>
          </w:p>
        </w:tc>
        <w:tc>
          <w:p>
            <w:pPr>
              <w:pStyle w:val="Compact"/>
              <w:jc w:val="center"/>
            </w:pPr>
            <w:r>
              <w:t xml:space="preserve">140</w:t>
            </w:r>
          </w:p>
        </w:tc>
        <w:tc>
          <w:p>
            <w:pPr>
              <w:pStyle w:val="Compact"/>
              <w:jc w:val="center"/>
            </w:pPr>
            <w:r>
              <w:t xml:space="preserve">10.8</w:t>
            </w:r>
          </w:p>
        </w:tc>
        <w:tc>
          <w:p>
            <w:pPr>
              <w:pStyle w:val="Compact"/>
              <w:jc w:val="center"/>
            </w:pPr>
            <w:r>
              <w:t xml:space="preserve">212</w:t>
            </w:r>
          </w:p>
        </w:tc>
        <w:tc>
          <w:p>
            <w:pPr>
              <w:pStyle w:val="Compact"/>
              <w:jc w:val="center"/>
            </w:pPr>
            <w:r>
              <w:t xml:space="preserve">0.34</w:t>
            </w:r>
          </w:p>
        </w:tc>
      </w:tr>
      <w:tr>
        <w:tc>
          <w:p>
            <w:pPr>
              <w:pStyle w:val="Compact"/>
              <w:jc w:val="center"/>
            </w:pPr>
            <w:r>
              <w:t xml:space="preserve">MFBIG-s</w:t>
            </w:r>
          </w:p>
        </w:tc>
        <w:tc>
          <w:p>
            <w:pPr>
              <w:pStyle w:val="Compact"/>
              <w:jc w:val="center"/>
            </w:pPr>
            <w:r>
              <w:t xml:space="preserve">2019</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17</w:t>
            </w:r>
          </w:p>
        </w:tc>
        <w:tc>
          <w:p>
            <w:pPr>
              <w:pStyle w:val="Compact"/>
              <w:jc w:val="center"/>
            </w:pPr>
            <w:r>
              <w:t xml:space="preserve">80</w:t>
            </w:r>
          </w:p>
        </w:tc>
        <w:tc>
          <w:p>
            <w:pPr>
              <w:pStyle w:val="Compact"/>
              <w:jc w:val="center"/>
            </w:pPr>
            <w:r>
              <w:t xml:space="preserve">16.8</w:t>
            </w:r>
          </w:p>
        </w:tc>
        <w:tc>
          <w:p>
            <w:pPr>
              <w:pStyle w:val="Compact"/>
              <w:jc w:val="center"/>
            </w:pPr>
            <w:r>
              <w:t xml:space="preserve">163</w:t>
            </w:r>
          </w:p>
        </w:tc>
        <w:tc>
          <w:p>
            <w:pPr>
              <w:pStyle w:val="Compact"/>
              <w:jc w:val="center"/>
            </w:pPr>
            <w:r>
              <w:t xml:space="preserve">0.509</w:t>
            </w:r>
          </w:p>
        </w:tc>
      </w:tr>
      <w:tr>
        <w:tc>
          <w:p>
            <w:pPr>
              <w:pStyle w:val="Compact"/>
              <w:jc w:val="center"/>
            </w:pPr>
            <w:r>
              <w:t xml:space="preserve">SRLEM-s</w:t>
            </w:r>
          </w:p>
        </w:tc>
        <w:tc>
          <w:p>
            <w:pPr>
              <w:pStyle w:val="Compact"/>
              <w:jc w:val="center"/>
            </w:pPr>
            <w:r>
              <w:t xml:space="preserve">2017</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c>
          <w:p>
            <w:pPr>
              <w:pStyle w:val="Compact"/>
              <w:jc w:val="center"/>
            </w:pPr>
            <w:r>
              <w:t xml:space="preserve">-</w:t>
            </w:r>
          </w:p>
        </w:tc>
        <w:tc>
          <w:p>
            <w:pPr>
              <w:pStyle w:val="Compact"/>
              <w:jc w:val="center"/>
            </w:pPr>
            <w:r>
              <w:t xml:space="preserve">79</w:t>
            </w:r>
          </w:p>
        </w:tc>
        <w:tc>
          <w:p>
            <w:pPr>
              <w:pStyle w:val="Compact"/>
              <w:jc w:val="center"/>
            </w:pPr>
            <w:r>
              <w:t xml:space="preserve">34</w:t>
            </w:r>
          </w:p>
        </w:tc>
        <w:tc>
          <w:p>
            <w:pPr>
              <w:pStyle w:val="Compact"/>
              <w:jc w:val="center"/>
            </w:pPr>
            <w:r>
              <w:t xml:space="preserve">169</w:t>
            </w:r>
          </w:p>
        </w:tc>
        <w:tc>
          <w:p>
            <w:pPr>
              <w:pStyle w:val="Compact"/>
              <w:jc w:val="center"/>
            </w:pPr>
            <w:r>
              <w:t xml:space="preserve">9.5</w:t>
            </w:r>
          </w:p>
        </w:tc>
        <w:tc>
          <w:p>
            <w:pPr>
              <w:pStyle w:val="Compact"/>
              <w:jc w:val="center"/>
            </w:pPr>
            <w:r>
              <w:t xml:space="preserve">248</w:t>
            </w:r>
          </w:p>
        </w:tc>
        <w:tc>
          <w:p>
            <w:pPr>
              <w:pStyle w:val="Compact"/>
              <w:jc w:val="center"/>
            </w:pPr>
            <w:r>
              <w:t xml:space="preserve">0.319</w:t>
            </w:r>
          </w:p>
        </w:tc>
      </w:tr>
      <w:tr>
        <w:tc>
          <w:p>
            <w:pPr>
              <w:pStyle w:val="Compact"/>
              <w:jc w:val="center"/>
            </w:pPr>
            <w:r>
              <w:t xml:space="preserve">SRLEM-s</w:t>
            </w:r>
          </w:p>
        </w:tc>
        <w:tc>
          <w:p>
            <w:pPr>
              <w:pStyle w:val="Compact"/>
              <w:jc w:val="center"/>
            </w:pPr>
            <w:r>
              <w:t xml:space="preserve">2018</w:t>
            </w:r>
          </w:p>
        </w:tc>
        <w:tc>
          <w:p>
            <w:pPr>
              <w:pStyle w:val="Compact"/>
              <w:jc w:val="center"/>
            </w:pPr>
            <w:r>
              <w:t xml:space="preserve">8</w:t>
            </w:r>
          </w:p>
        </w:tc>
        <w:tc>
          <w:p>
            <w:pPr>
              <w:pStyle w:val="Compact"/>
              <w:jc w:val="center"/>
            </w:pPr>
            <w:r>
              <w:t xml:space="preserve">-</w:t>
            </w:r>
          </w:p>
        </w:tc>
        <w:tc>
          <w:p>
            <w:pPr>
              <w:pStyle w:val="Compact"/>
              <w:jc w:val="center"/>
            </w:pPr>
            <w:r>
              <w:t xml:space="preserve">119</w:t>
            </w:r>
          </w:p>
        </w:tc>
        <w:tc>
          <w:p>
            <w:pPr>
              <w:pStyle w:val="Compact"/>
              <w:jc w:val="center"/>
            </w:pPr>
            <w:r>
              <w:t xml:space="preserve">-</w:t>
            </w:r>
          </w:p>
        </w:tc>
        <w:tc>
          <w:p>
            <w:pPr>
              <w:pStyle w:val="Compact"/>
              <w:jc w:val="center"/>
            </w:pPr>
            <w:r>
              <w:t xml:space="preserve">383</w:t>
            </w:r>
          </w:p>
        </w:tc>
        <w:tc>
          <w:p>
            <w:pPr>
              <w:pStyle w:val="Compact"/>
              <w:jc w:val="center"/>
            </w:pPr>
            <w:r>
              <w:t xml:space="preserve">133</w:t>
            </w:r>
          </w:p>
        </w:tc>
        <w:tc>
          <w:p>
            <w:pPr>
              <w:pStyle w:val="Compact"/>
              <w:jc w:val="center"/>
            </w:pPr>
            <w:r>
              <w:t xml:space="preserve">635</w:t>
            </w:r>
          </w:p>
        </w:tc>
        <w:tc>
          <w:p>
            <w:pPr>
              <w:pStyle w:val="Compact"/>
              <w:jc w:val="center"/>
            </w:pPr>
            <w:r>
              <w:t xml:space="preserve">25</w:t>
            </w:r>
          </w:p>
        </w:tc>
        <w:tc>
          <w:p>
            <w:pPr>
              <w:pStyle w:val="Compact"/>
              <w:jc w:val="center"/>
            </w:pPr>
            <w:r>
              <w:t xml:space="preserve">108</w:t>
            </w:r>
          </w:p>
        </w:tc>
        <w:tc>
          <w:p>
            <w:pPr>
              <w:pStyle w:val="Compact"/>
              <w:jc w:val="center"/>
            </w:pPr>
            <w:r>
              <w:t xml:space="preserve">10.5</w:t>
            </w:r>
          </w:p>
        </w:tc>
        <w:tc>
          <w:p>
            <w:pPr>
              <w:pStyle w:val="Compact"/>
              <w:jc w:val="center"/>
            </w:pPr>
            <w:r>
              <w:t xml:space="preserve">743</w:t>
            </w:r>
          </w:p>
        </w:tc>
        <w:tc>
          <w:p>
            <w:pPr>
              <w:pStyle w:val="Compact"/>
              <w:jc w:val="center"/>
            </w:pPr>
            <w:r>
              <w:t xml:space="preserve">0.855</w:t>
            </w:r>
          </w:p>
        </w:tc>
      </w:tr>
      <w:tr>
        <w:tc>
          <w:p>
            <w:pPr>
              <w:pStyle w:val="Compact"/>
              <w:jc w:val="center"/>
            </w:pPr>
            <w:r>
              <w:t xml:space="preserve">SRNFS-s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136</w:t>
            </w:r>
          </w:p>
        </w:tc>
        <w:tc>
          <w:p>
            <w:pPr>
              <w:pStyle w:val="Compact"/>
              <w:jc w:val="center"/>
            </w:pPr>
            <w:r>
              <w:t xml:space="preserve">-</w:t>
            </w:r>
          </w:p>
        </w:tc>
        <w:tc>
          <w:p>
            <w:pPr>
              <w:pStyle w:val="Compact"/>
              <w:jc w:val="center"/>
            </w:pPr>
            <w:r>
              <w:t xml:space="preserve">136</w:t>
            </w:r>
          </w:p>
        </w:tc>
        <w:tc>
          <w:p>
            <w:pPr>
              <w:pStyle w:val="Compact"/>
              <w:jc w:val="center"/>
            </w:pPr>
            <w:r>
              <w:t xml:space="preserve">12</w:t>
            </w:r>
          </w:p>
        </w:tc>
        <w:tc>
          <w:p>
            <w:pPr>
              <w:pStyle w:val="Compact"/>
              <w:jc w:val="center"/>
            </w:pPr>
            <w:r>
              <w:t xml:space="preserve">205</w:t>
            </w:r>
          </w:p>
        </w:tc>
        <w:tc>
          <w:p>
            <w:pPr>
              <w:pStyle w:val="Compact"/>
              <w:jc w:val="center"/>
            </w:pPr>
            <w:r>
              <w:t xml:space="preserve">71.8</w:t>
            </w:r>
          </w:p>
        </w:tc>
        <w:tc>
          <w:p>
            <w:pPr>
              <w:pStyle w:val="Compact"/>
              <w:jc w:val="center"/>
            </w:pPr>
            <w:r>
              <w:t xml:space="preserve">341</w:t>
            </w:r>
          </w:p>
        </w:tc>
        <w:tc>
          <w:p>
            <w:pPr>
              <w:pStyle w:val="Compact"/>
              <w:jc w:val="center"/>
            </w:pPr>
            <w:r>
              <w:t xml:space="preserve">0.399</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496</w:t>
            </w:r>
          </w:p>
        </w:tc>
        <w:tc>
          <w:p>
            <w:pPr>
              <w:pStyle w:val="Compact"/>
              <w:jc w:val="center"/>
            </w:pPr>
            <w:r>
              <w:t xml:space="preserve">460</w:t>
            </w:r>
          </w:p>
        </w:tc>
        <w:tc>
          <w:p>
            <w:pPr>
              <w:pStyle w:val="Compact"/>
              <w:jc w:val="center"/>
            </w:pPr>
            <w:r>
              <w:t xml:space="preserve">-</w:t>
            </w:r>
          </w:p>
        </w:tc>
        <w:tc>
          <w:p>
            <w:pPr>
              <w:pStyle w:val="Compact"/>
              <w:jc w:val="center"/>
            </w:pPr>
            <w:r>
              <w:t xml:space="preserve">956</w:t>
            </w:r>
          </w:p>
        </w:tc>
        <w:tc>
          <w:p>
            <w:pPr>
              <w:pStyle w:val="Compact"/>
              <w:jc w:val="center"/>
            </w:pPr>
            <w:r>
              <w:t xml:space="preserve">12</w:t>
            </w:r>
          </w:p>
        </w:tc>
        <w:tc>
          <w:p>
            <w:pPr>
              <w:pStyle w:val="Compact"/>
              <w:jc w:val="center"/>
            </w:pPr>
            <w:r>
              <w:t xml:space="preserve">73</w:t>
            </w:r>
          </w:p>
        </w:tc>
        <w:tc>
          <w:p>
            <w:pPr>
              <w:pStyle w:val="Compact"/>
              <w:jc w:val="center"/>
            </w:pPr>
            <w:r>
              <w:t xml:space="preserve">30.6</w:t>
            </w:r>
          </w:p>
        </w:tc>
        <w:tc>
          <w:p>
            <w:pPr>
              <w:pStyle w:val="Compact"/>
              <w:jc w:val="center"/>
            </w:pPr>
            <w:r>
              <w:t xml:space="preserve">1,029</w:t>
            </w:r>
          </w:p>
        </w:tc>
        <w:tc>
          <w:p>
            <w:pPr>
              <w:pStyle w:val="Compact"/>
              <w:jc w:val="center"/>
            </w:pPr>
            <w:r>
              <w:t xml:space="preserve">0.929</w:t>
            </w:r>
          </w:p>
        </w:tc>
      </w:tr>
      <w:tr>
        <w:tc>
          <w:p>
            <w:pPr>
              <w:pStyle w:val="Compact"/>
              <w:jc w:val="center"/>
            </w:pPr>
            <w:r>
              <w:t xml:space="preserve">SRUMA-s</w:t>
            </w:r>
          </w:p>
        </w:tc>
        <w:tc>
          <w:p>
            <w:pPr>
              <w:pStyle w:val="Compact"/>
              <w:jc w:val="center"/>
            </w:pPr>
            <w:r>
              <w:t xml:space="preserve">2018</w:t>
            </w:r>
          </w:p>
        </w:tc>
        <w:tc>
          <w:p>
            <w:pPr>
              <w:pStyle w:val="Compact"/>
              <w:jc w:val="center"/>
            </w:pPr>
            <w:r>
              <w:t xml:space="preserve">18</w:t>
            </w:r>
          </w:p>
        </w:tc>
        <w:tc>
          <w:p>
            <w:pPr>
              <w:pStyle w:val="Compact"/>
              <w:jc w:val="center"/>
            </w:pPr>
            <w:r>
              <w:t xml:space="preserve">-</w:t>
            </w:r>
          </w:p>
        </w:tc>
        <w:tc>
          <w:p>
            <w:pPr>
              <w:pStyle w:val="Compact"/>
              <w:jc w:val="center"/>
            </w:pPr>
            <w:r>
              <w:t xml:space="preserve">-</w:t>
            </w:r>
          </w:p>
        </w:tc>
        <w:tc>
          <w:p>
            <w:pPr>
              <w:pStyle w:val="Compact"/>
              <w:jc w:val="center"/>
            </w:pPr>
            <w:r>
              <w:t xml:space="preserve">1,235</w:t>
            </w:r>
          </w:p>
        </w:tc>
        <w:tc>
          <w:p>
            <w:pPr>
              <w:pStyle w:val="Compact"/>
              <w:jc w:val="center"/>
            </w:pPr>
            <w:r>
              <w:t xml:space="preserve">40</w:t>
            </w:r>
          </w:p>
        </w:tc>
        <w:tc>
          <w:p>
            <w:pPr>
              <w:pStyle w:val="Compact"/>
              <w:jc w:val="center"/>
            </w:pPr>
            <w:r>
              <w:t xml:space="preserve">-</w:t>
            </w:r>
          </w:p>
        </w:tc>
        <w:tc>
          <w:p>
            <w:pPr>
              <w:pStyle w:val="Compact"/>
              <w:jc w:val="center"/>
            </w:pPr>
            <w:r>
              <w:t xml:space="preserve">1,275</w:t>
            </w:r>
          </w:p>
        </w:tc>
        <w:tc>
          <w:p>
            <w:pPr>
              <w:pStyle w:val="Compact"/>
              <w:jc w:val="center"/>
            </w:pPr>
            <w:r>
              <w:t xml:space="preserve">11</w:t>
            </w:r>
          </w:p>
        </w:tc>
        <w:tc>
          <w:p>
            <w:pPr>
              <w:pStyle w:val="Compact"/>
              <w:jc w:val="center"/>
            </w:pPr>
            <w:r>
              <w:t xml:space="preserve">50</w:t>
            </w:r>
          </w:p>
        </w:tc>
        <w:tc>
          <w:p>
            <w:pPr>
              <w:pStyle w:val="Compact"/>
              <w:jc w:val="center"/>
            </w:pPr>
            <w:r>
              <w:t xml:space="preserve">30.7</w:t>
            </w:r>
          </w:p>
        </w:tc>
        <w:tc>
          <w:p>
            <w:pPr>
              <w:pStyle w:val="Compact"/>
              <w:jc w:val="center"/>
            </w:pPr>
            <w:r>
              <w:t xml:space="preserve">1,325</w:t>
            </w:r>
          </w:p>
        </w:tc>
        <w:tc>
          <w:p>
            <w:pPr>
              <w:pStyle w:val="Compact"/>
              <w:jc w:val="center"/>
            </w:pPr>
            <w:r>
              <w:t xml:space="preserve">0.962</w:t>
            </w:r>
          </w:p>
        </w:tc>
      </w:tr>
      <w:tr>
        <w:tc>
          <w:p>
            <w:pPr>
              <w:pStyle w:val="Compact"/>
              <w:jc w:val="center"/>
            </w:pPr>
            <w:r>
              <w:t xml:space="preserve">SRUMA-s</w:t>
            </w:r>
          </w:p>
        </w:tc>
        <w:tc>
          <w:p>
            <w:pPr>
              <w:pStyle w:val="Compact"/>
              <w:jc w:val="center"/>
            </w:pPr>
            <w:r>
              <w:t xml:space="preserve">2019</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166</w:t>
            </w:r>
          </w:p>
        </w:tc>
        <w:tc>
          <w:p>
            <w:pPr>
              <w:pStyle w:val="Compact"/>
              <w:jc w:val="center"/>
            </w:pPr>
            <w:r>
              <w:t xml:space="preserve">108</w:t>
            </w:r>
          </w:p>
        </w:tc>
        <w:tc>
          <w:p>
            <w:pPr>
              <w:pStyle w:val="Compact"/>
              <w:jc w:val="center"/>
            </w:pPr>
            <w:r>
              <w:t xml:space="preserve">-</w:t>
            </w:r>
          </w:p>
        </w:tc>
        <w:tc>
          <w:p>
            <w:pPr>
              <w:pStyle w:val="Compact"/>
              <w:jc w:val="center"/>
            </w:pPr>
            <w:r>
              <w:t xml:space="preserve">274</w:t>
            </w:r>
          </w:p>
        </w:tc>
        <w:tc>
          <w:p>
            <w:pPr>
              <w:pStyle w:val="Compact"/>
              <w:jc w:val="center"/>
            </w:pPr>
            <w:r>
              <w:t xml:space="preserve">8</w:t>
            </w:r>
          </w:p>
        </w:tc>
        <w:tc>
          <w:p>
            <w:pPr>
              <w:pStyle w:val="Compact"/>
              <w:jc w:val="center"/>
            </w:pPr>
            <w:r>
              <w:t xml:space="preserve">38</w:t>
            </w:r>
          </w:p>
        </w:tc>
        <w:tc>
          <w:p>
            <w:pPr>
              <w:pStyle w:val="Compact"/>
              <w:jc w:val="center"/>
            </w:pPr>
            <w:r>
              <w:t xml:space="preserve">37.5</w:t>
            </w:r>
          </w:p>
        </w:tc>
        <w:tc>
          <w:p>
            <w:pPr>
              <w:pStyle w:val="Compact"/>
              <w:jc w:val="center"/>
            </w:pPr>
            <w:r>
              <w:t xml:space="preserve">312</w:t>
            </w:r>
          </w:p>
        </w:tc>
        <w:tc>
          <w:p>
            <w:pPr>
              <w:pStyle w:val="Compact"/>
              <w:jc w:val="center"/>
            </w:pPr>
            <w:r>
              <w:t xml:space="preserve">0.878</w:t>
            </w:r>
          </w:p>
        </w:tc>
      </w:tr>
    </w:tbl>
    <w:p>
      <w:pPr>
        <w:pStyle w:val="Heading3"/>
      </w:pPr>
      <w:bookmarkStart w:id="33" w:name="section-2.-expected-precision-of-phos-given-current-pit-tagging-of-w-and-hnc-adults-at-lgr"/>
      <w:bookmarkEnd w:id="33"/>
      <w:r>
        <w:t xml:space="preserve">Section 2. Expected precision of</w:t>
      </w:r>
      <w:r>
        <w:t xml:space="preserve"> </w:t>
      </w:r>
      <w:r>
        <w:rPr>
          <w:i/>
        </w:rPr>
        <w:t xml:space="preserve">pHOS</w:t>
      </w:r>
      <w:r>
        <w:t xml:space="preserve"> </w:t>
      </w:r>
      <w:r>
        <w:t xml:space="preserve">given current PIT tagging of W and HNC adults at LGR</w:t>
      </w:r>
    </w:p>
    <w:p>
      <w:pPr>
        <w:pStyle w:val="FirstParagraph"/>
      </w:pPr>
      <w:r>
        <w:t xml:space="preserve">We estimated the abundance of ad-intact adults using the systematic tagging of those adults at LGR, detection at IPTDS throughout the SRB, and using the DABOM model for steelhead, SY2017-2019 (Table 4). Abundances were then combined to estimate</w:t>
      </w:r>
      <w:r>
        <w:t xml:space="preserve"> </w:t>
      </w:r>
      <w:r>
        <w:rPr>
          <w:i/>
        </w:rPr>
        <w:t xml:space="preserve">pHOS</w:t>
      </w:r>
      <w:r>
        <w:t xml:space="preserve"> </w:t>
      </w:r>
      <w:r>
        <w:t xml:space="preserve">with SE and CV which accounts for uncertainty in both the wild and HNC abundance estimates.</w:t>
      </w:r>
    </w:p>
    <w:p>
      <w:pPr>
        <w:pStyle w:val="BodyText"/>
      </w:pPr>
      <w:r>
        <w:t xml:space="preserve">Table 4: Estimates of abundance (CV) for ad-intact steelhead including wild and hatchery (HNC), how many tags of each origin were detected, spawn years 2017-2019 and estimates of the proportion of hatchery origin spawners (pHOS) with standard error (SE) and coefficient of variation (CV) that takes into account uncertainty in the abundance estimates.</w:t>
      </w:r>
    </w:p>
    <w:tbl>
      <w:tblPr>
        <w:tblStyle w:val="TableNormal"/>
        <w:tblW w:type="pct" w:w="4999.999999999999"/>
        <w:tblLook w:firstRow="1"/>
      </w:tblPr>
      <w:tblGrid>
        <w:gridCol w:w="792"/>
        <w:gridCol w:w="554"/>
        <w:gridCol w:w="1267"/>
        <w:gridCol w:w="871"/>
        <w:gridCol w:w="1267"/>
        <w:gridCol w:w="950"/>
        <w:gridCol w:w="633"/>
        <w:gridCol w:w="792"/>
        <w:gridCol w:w="792"/>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HNC</w:t>
            </w:r>
          </w:p>
        </w:tc>
        <w:tc>
          <w:tcPr>
            <w:tcBorders>
              <w:bottom w:val="single"/>
            </w:tcBorders>
            <w:vAlign w:val="bottom"/>
          </w:tcPr>
          <w:p>
            <w:pPr>
              <w:pStyle w:val="Compact"/>
              <w:jc w:val="center"/>
            </w:pPr>
            <w:r>
              <w:t xml:space="preserve">HNC tags</w:t>
            </w:r>
          </w:p>
        </w:tc>
        <w:tc>
          <w:tcPr>
            <w:tcBorders>
              <w:bottom w:val="single"/>
            </w:tcBorders>
            <w:vAlign w:val="bottom"/>
          </w:tcPr>
          <w:p>
            <w:pPr>
              <w:pStyle w:val="Compact"/>
              <w:jc w:val="center"/>
            </w:pPr>
            <w:r>
              <w:t xml:space="preserve">Wild</w:t>
            </w:r>
          </w:p>
        </w:tc>
        <w:tc>
          <w:tcPr>
            <w:tcBorders>
              <w:bottom w:val="single"/>
            </w:tcBorders>
            <w:vAlign w:val="bottom"/>
          </w:tcPr>
          <w:p>
            <w:pPr>
              <w:pStyle w:val="Compact"/>
              <w:jc w:val="center"/>
            </w:pPr>
            <w:r>
              <w:t xml:space="preserve">Wild tags</w:t>
            </w:r>
          </w:p>
        </w:tc>
        <w:tc>
          <w:tcPr>
            <w:tcBorders>
              <w:bottom w:val="single"/>
            </w:tcBorders>
            <w:vAlign w:val="bottom"/>
          </w:tcPr>
          <w:p>
            <w:pPr>
              <w:pStyle w:val="Compact"/>
              <w:jc w:val="center"/>
            </w:pPr>
            <w:r>
              <w:t xml:space="preserve">pHOS</w:t>
            </w:r>
          </w:p>
        </w:tc>
        <w:tc>
          <w:tcPr>
            <w:tcBorders>
              <w:bottom w:val="single"/>
            </w:tcBorders>
            <w:vAlign w:val="bottom"/>
          </w:tcPr>
          <w:p>
            <w:pPr>
              <w:pStyle w:val="Compact"/>
              <w:jc w:val="center"/>
            </w:pPr>
            <w:r>
              <w:t xml:space="preserve">pHOS_se</w:t>
            </w:r>
          </w:p>
        </w:tc>
        <w:tc>
          <w:tcPr>
            <w:tcBorders>
              <w:bottom w:val="single"/>
            </w:tcBorders>
            <w:vAlign w:val="bottom"/>
          </w:tcPr>
          <w:p>
            <w:pPr>
              <w:pStyle w:val="Compact"/>
              <w:jc w:val="center"/>
            </w:pPr>
            <w:r>
              <w:t xml:space="preserve">pHOS_cv</w:t>
            </w:r>
          </w:p>
        </w:tc>
      </w:tr>
      <w:tr>
        <w:tc>
          <w:p>
            <w:pPr>
              <w:pStyle w:val="Compact"/>
              <w:jc w:val="center"/>
            </w:pPr>
            <w:r>
              <w:t xml:space="preserve">CRLMA-s</w:t>
            </w:r>
          </w:p>
        </w:tc>
        <w:tc>
          <w:p>
            <w:pPr>
              <w:pStyle w:val="Compact"/>
              <w:jc w:val="center"/>
            </w:pPr>
            <w:r>
              <w:t xml:space="preserve">2017</w:t>
            </w:r>
          </w:p>
        </w:tc>
        <w:tc>
          <w:p>
            <w:pPr>
              <w:pStyle w:val="Compact"/>
              <w:jc w:val="center"/>
            </w:pPr>
            <w:r>
              <w:t xml:space="preserve">27 (0.47)</w:t>
            </w:r>
          </w:p>
        </w:tc>
        <w:tc>
          <w:p>
            <w:pPr>
              <w:pStyle w:val="Compact"/>
              <w:jc w:val="center"/>
            </w:pPr>
            <w:r>
              <w:t xml:space="preserve">4</w:t>
            </w:r>
          </w:p>
        </w:tc>
        <w:tc>
          <w:p>
            <w:pPr>
              <w:pStyle w:val="Compact"/>
              <w:jc w:val="center"/>
            </w:pPr>
            <w:r>
              <w:t xml:space="preserve">273 (0.075)</w:t>
            </w:r>
          </w:p>
        </w:tc>
        <w:tc>
          <w:p>
            <w:pPr>
              <w:pStyle w:val="Compact"/>
              <w:jc w:val="center"/>
            </w:pPr>
            <w:r>
              <w:t xml:space="preserve">52</w:t>
            </w:r>
          </w:p>
        </w:tc>
        <w:tc>
          <w:p>
            <w:pPr>
              <w:pStyle w:val="Compact"/>
              <w:jc w:val="center"/>
            </w:pPr>
            <w:r>
              <w:t xml:space="preserve">0.09</w:t>
            </w:r>
          </w:p>
        </w:tc>
        <w:tc>
          <w:p>
            <w:pPr>
              <w:pStyle w:val="Compact"/>
              <w:jc w:val="center"/>
            </w:pPr>
            <w:r>
              <w:t xml:space="preserve">0.039</w:t>
            </w:r>
          </w:p>
        </w:tc>
        <w:tc>
          <w:p>
            <w:pPr>
              <w:pStyle w:val="Compact"/>
              <w:jc w:val="center"/>
            </w:pPr>
            <w:r>
              <w:t xml:space="preserve">0.433</w:t>
            </w:r>
          </w:p>
        </w:tc>
      </w:tr>
      <w:tr>
        <w:tc>
          <w:p>
            <w:pPr>
              <w:pStyle w:val="Compact"/>
              <w:jc w:val="center"/>
            </w:pPr>
            <w:r>
              <w:t xml:space="preserve">CRLMA-s</w:t>
            </w:r>
          </w:p>
        </w:tc>
        <w:tc>
          <w:p>
            <w:pPr>
              <w:pStyle w:val="Compact"/>
              <w:jc w:val="center"/>
            </w:pPr>
            <w:r>
              <w:t xml:space="preserve">2018</w:t>
            </w:r>
          </w:p>
        </w:tc>
        <w:tc>
          <w:p>
            <w:pPr>
              <w:pStyle w:val="Compact"/>
              <w:jc w:val="center"/>
            </w:pPr>
            <w:r>
              <w:t xml:space="preserve">22 (0.427)</w:t>
            </w:r>
          </w:p>
        </w:tc>
        <w:tc>
          <w:p>
            <w:pPr>
              <w:pStyle w:val="Compact"/>
              <w:jc w:val="center"/>
            </w:pPr>
            <w:r>
              <w:t xml:space="preserve">4</w:t>
            </w:r>
          </w:p>
        </w:tc>
        <w:tc>
          <w:p>
            <w:pPr>
              <w:pStyle w:val="Compact"/>
              <w:jc w:val="center"/>
            </w:pPr>
            <w:r>
              <w:t xml:space="preserve">273 (0.075)</w:t>
            </w:r>
          </w:p>
        </w:tc>
        <w:tc>
          <w:p>
            <w:pPr>
              <w:pStyle w:val="Compact"/>
              <w:jc w:val="center"/>
            </w:pPr>
            <w:r>
              <w:t xml:space="preserve">61</w:t>
            </w:r>
          </w:p>
        </w:tc>
        <w:tc>
          <w:p>
            <w:pPr>
              <w:pStyle w:val="Compact"/>
              <w:jc w:val="center"/>
            </w:pPr>
            <w:r>
              <w:t xml:space="preserve">0.075</w:t>
            </w:r>
          </w:p>
        </w:tc>
        <w:tc>
          <w:p>
            <w:pPr>
              <w:pStyle w:val="Compact"/>
              <w:jc w:val="center"/>
            </w:pPr>
            <w:r>
              <w:t xml:space="preserve">0.03</w:t>
            </w:r>
          </w:p>
        </w:tc>
        <w:tc>
          <w:p>
            <w:pPr>
              <w:pStyle w:val="Compact"/>
              <w:jc w:val="center"/>
            </w:pPr>
            <w:r>
              <w:t xml:space="preserve">0.401</w:t>
            </w:r>
          </w:p>
        </w:tc>
      </w:tr>
      <w:tr>
        <w:tc>
          <w:p>
            <w:pPr>
              <w:pStyle w:val="Compact"/>
              <w:jc w:val="center"/>
            </w:pPr>
            <w:r>
              <w:t xml:space="preserve">CRLMA-s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191 (0.159)</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CRLOC-s</w:t>
            </w:r>
          </w:p>
        </w:tc>
        <w:tc>
          <w:p>
            <w:pPr>
              <w:pStyle w:val="Compact"/>
              <w:jc w:val="center"/>
            </w:pPr>
            <w:r>
              <w:t xml:space="preserve">2017</w:t>
            </w:r>
          </w:p>
        </w:tc>
        <w:tc>
          <w:p>
            <w:pPr>
              <w:pStyle w:val="Compact"/>
              <w:jc w:val="center"/>
            </w:pPr>
            <w:r>
              <w:t xml:space="preserve">744 (0.969)</w:t>
            </w:r>
          </w:p>
        </w:tc>
        <w:tc>
          <w:p>
            <w:pPr>
              <w:pStyle w:val="Compact"/>
              <w:jc w:val="center"/>
            </w:pPr>
            <w:r>
              <w:t xml:space="preserve">5</w:t>
            </w:r>
          </w:p>
        </w:tc>
        <w:tc>
          <w:p>
            <w:pPr>
              <w:pStyle w:val="Compact"/>
              <w:jc w:val="center"/>
            </w:pPr>
            <w:r>
              <w:t xml:space="preserve">1,386 (0.092)</w:t>
            </w:r>
          </w:p>
        </w:tc>
        <w:tc>
          <w:p>
            <w:pPr>
              <w:pStyle w:val="Compact"/>
              <w:jc w:val="center"/>
            </w:pPr>
            <w:r>
              <w:t xml:space="preserve">171</w:t>
            </w:r>
          </w:p>
        </w:tc>
        <w:tc>
          <w:p>
            <w:pPr>
              <w:pStyle w:val="Compact"/>
              <w:jc w:val="center"/>
            </w:pPr>
            <w:r>
              <w:t xml:space="preserve">0.349</w:t>
            </w:r>
          </w:p>
        </w:tc>
        <w:tc>
          <w:p>
            <w:pPr>
              <w:pStyle w:val="Compact"/>
              <w:jc w:val="center"/>
            </w:pPr>
            <w:r>
              <w:t xml:space="preserve">0.221</w:t>
            </w:r>
          </w:p>
        </w:tc>
        <w:tc>
          <w:p>
            <w:pPr>
              <w:pStyle w:val="Compact"/>
              <w:jc w:val="center"/>
            </w:pPr>
            <w:r>
              <w:t xml:space="preserve">0.634</w:t>
            </w:r>
          </w:p>
        </w:tc>
      </w:tr>
      <w:tr>
        <w:tc>
          <w:p>
            <w:pPr>
              <w:pStyle w:val="Compact"/>
              <w:jc w:val="center"/>
            </w:pPr>
            <w:r>
              <w:t xml:space="preserve">CRLOC-s</w:t>
            </w:r>
          </w:p>
        </w:tc>
        <w:tc>
          <w:p>
            <w:pPr>
              <w:pStyle w:val="Compact"/>
              <w:jc w:val="center"/>
            </w:pPr>
            <w:r>
              <w:t xml:space="preserve">2018</w:t>
            </w:r>
          </w:p>
        </w:tc>
        <w:tc>
          <w:p>
            <w:pPr>
              <w:pStyle w:val="Compact"/>
              <w:jc w:val="center"/>
            </w:pPr>
            <w:r>
              <w:t xml:space="preserve">20 (0.87)</w:t>
            </w:r>
          </w:p>
        </w:tc>
        <w:tc>
          <w:p>
            <w:pPr>
              <w:pStyle w:val="Compact"/>
              <w:jc w:val="center"/>
            </w:pPr>
            <w:r>
              <w:t xml:space="preserve">2</w:t>
            </w:r>
          </w:p>
        </w:tc>
        <w:tc>
          <w:p>
            <w:pPr>
              <w:pStyle w:val="Compact"/>
              <w:jc w:val="center"/>
            </w:pPr>
            <w:r>
              <w:t xml:space="preserve">356 (0.082)</w:t>
            </w:r>
          </w:p>
        </w:tc>
        <w:tc>
          <w:p>
            <w:pPr>
              <w:pStyle w:val="Compact"/>
              <w:jc w:val="center"/>
            </w:pPr>
            <w:r>
              <w:t xml:space="preserve">74</w:t>
            </w:r>
          </w:p>
        </w:tc>
        <w:tc>
          <w:p>
            <w:pPr>
              <w:pStyle w:val="Compact"/>
              <w:jc w:val="center"/>
            </w:pPr>
            <w:r>
              <w:t xml:space="preserve">0.053</w:t>
            </w:r>
          </w:p>
        </w:tc>
        <w:tc>
          <w:p>
            <w:pPr>
              <w:pStyle w:val="Compact"/>
              <w:jc w:val="center"/>
            </w:pPr>
            <w:r>
              <w:t xml:space="preserve">0.044</w:t>
            </w:r>
          </w:p>
        </w:tc>
        <w:tc>
          <w:p>
            <w:pPr>
              <w:pStyle w:val="Compact"/>
              <w:jc w:val="center"/>
            </w:pPr>
            <w:r>
              <w:t xml:space="preserve">0.827</w:t>
            </w:r>
          </w:p>
        </w:tc>
      </w:tr>
      <w:tr>
        <w:tc>
          <w:p>
            <w:pPr>
              <w:pStyle w:val="Compact"/>
              <w:jc w:val="center"/>
            </w:pPr>
            <w:r>
              <w:t xml:space="preserve">CRLOC-s</w:t>
            </w:r>
          </w:p>
        </w:tc>
        <w:tc>
          <w:p>
            <w:pPr>
              <w:pStyle w:val="Compact"/>
              <w:jc w:val="center"/>
            </w:pPr>
            <w:r>
              <w:t xml:space="preserve">2019</w:t>
            </w:r>
          </w:p>
        </w:tc>
        <w:tc>
          <w:p>
            <w:pPr>
              <w:pStyle w:val="Compact"/>
              <w:jc w:val="center"/>
            </w:pPr>
            <w:r>
              <w:t xml:space="preserve">87 (1.285)</w:t>
            </w:r>
          </w:p>
        </w:tc>
        <w:tc>
          <w:p>
            <w:pPr>
              <w:pStyle w:val="Compact"/>
              <w:jc w:val="center"/>
            </w:pPr>
            <w:r>
              <w:t xml:space="preserve">1</w:t>
            </w:r>
          </w:p>
        </w:tc>
        <w:tc>
          <w:p>
            <w:pPr>
              <w:pStyle w:val="Compact"/>
              <w:jc w:val="center"/>
            </w:pPr>
            <w:r>
              <w:t xml:space="preserve">455 (0.147)</w:t>
            </w:r>
          </w:p>
        </w:tc>
        <w:tc>
          <w:p>
            <w:pPr>
              <w:pStyle w:val="Compact"/>
              <w:jc w:val="center"/>
            </w:pPr>
            <w:r>
              <w:t xml:space="preserve">77</w:t>
            </w:r>
          </w:p>
        </w:tc>
        <w:tc>
          <w:p>
            <w:pPr>
              <w:pStyle w:val="Compact"/>
              <w:jc w:val="center"/>
            </w:pPr>
            <w:r>
              <w:t xml:space="preserve">0.161</w:t>
            </w:r>
          </w:p>
        </w:tc>
        <w:tc>
          <w:p>
            <w:pPr>
              <w:pStyle w:val="Compact"/>
              <w:jc w:val="center"/>
            </w:pPr>
            <w:r>
              <w:t xml:space="preserve">0.174</w:t>
            </w:r>
          </w:p>
        </w:tc>
        <w:tc>
          <w:p>
            <w:pPr>
              <w:pStyle w:val="Compact"/>
              <w:jc w:val="center"/>
            </w:pPr>
            <w:r>
              <w:t xml:space="preserve">1.086</w:t>
            </w:r>
          </w:p>
        </w:tc>
      </w:tr>
      <w:tr>
        <w:tc>
          <w:p>
            <w:pPr>
              <w:pStyle w:val="Compact"/>
              <w:jc w:val="center"/>
            </w:pPr>
            <w:r>
              <w:t xml:space="preserve">CRLOL-s</w:t>
            </w:r>
          </w:p>
        </w:tc>
        <w:tc>
          <w:p>
            <w:pPr>
              <w:pStyle w:val="Compact"/>
              <w:jc w:val="center"/>
            </w:pPr>
            <w:r>
              <w:t xml:space="preserve">2017</w:t>
            </w:r>
          </w:p>
        </w:tc>
        <w:tc>
          <w:p>
            <w:pPr>
              <w:pStyle w:val="Compact"/>
              <w:jc w:val="center"/>
            </w:pPr>
            <w:r>
              <w:t xml:space="preserve">565 (0.12)</w:t>
            </w:r>
          </w:p>
        </w:tc>
        <w:tc>
          <w:p>
            <w:pPr>
              <w:pStyle w:val="Compact"/>
              <w:jc w:val="center"/>
            </w:pPr>
            <w:r>
              <w:t xml:space="preserve">91</w:t>
            </w:r>
          </w:p>
        </w:tc>
        <w:tc>
          <w:p>
            <w:pPr>
              <w:pStyle w:val="Compact"/>
              <w:jc w:val="center"/>
            </w:pPr>
            <w:r>
              <w:t xml:space="preserve">126 (0.106)</w:t>
            </w:r>
          </w:p>
        </w:tc>
        <w:tc>
          <w:p>
            <w:pPr>
              <w:pStyle w:val="Compact"/>
              <w:jc w:val="center"/>
            </w:pPr>
            <w:r>
              <w:t xml:space="preserve">23</w:t>
            </w:r>
          </w:p>
        </w:tc>
        <w:tc>
          <w:p>
            <w:pPr>
              <w:pStyle w:val="Compact"/>
              <w:jc w:val="center"/>
            </w:pPr>
            <w:r>
              <w:t xml:space="preserve">0.818</w:t>
            </w:r>
          </w:p>
        </w:tc>
        <w:tc>
          <w:p>
            <w:pPr>
              <w:pStyle w:val="Compact"/>
              <w:jc w:val="center"/>
            </w:pPr>
            <w:r>
              <w:t xml:space="preserve">0.024</w:t>
            </w:r>
          </w:p>
        </w:tc>
        <w:tc>
          <w:p>
            <w:pPr>
              <w:pStyle w:val="Compact"/>
              <w:jc w:val="center"/>
            </w:pPr>
            <w:r>
              <w:t xml:space="preserve">0.029</w:t>
            </w:r>
          </w:p>
        </w:tc>
      </w:tr>
      <w:tr>
        <w:tc>
          <w:p>
            <w:pPr>
              <w:pStyle w:val="Compact"/>
              <w:jc w:val="center"/>
            </w:pPr>
            <w:r>
              <w:t xml:space="preserve">CRLOL-s</w:t>
            </w:r>
          </w:p>
        </w:tc>
        <w:tc>
          <w:p>
            <w:pPr>
              <w:pStyle w:val="Compact"/>
              <w:jc w:val="center"/>
            </w:pPr>
            <w:r>
              <w:t xml:space="preserve">2018</w:t>
            </w:r>
          </w:p>
        </w:tc>
        <w:tc>
          <w:p>
            <w:pPr>
              <w:pStyle w:val="Compact"/>
              <w:jc w:val="center"/>
            </w:pPr>
            <w:r>
              <w:t xml:space="preserve">129 (0.191)</w:t>
            </w:r>
          </w:p>
        </w:tc>
        <w:tc>
          <w:p>
            <w:pPr>
              <w:pStyle w:val="Compact"/>
              <w:jc w:val="center"/>
            </w:pPr>
            <w:r>
              <w:t xml:space="preserve">27</w:t>
            </w:r>
          </w:p>
        </w:tc>
        <w:tc>
          <w:p>
            <w:pPr>
              <w:pStyle w:val="Compact"/>
              <w:jc w:val="center"/>
            </w:pPr>
            <w:r>
              <w:t xml:space="preserve">135 (0.113)</w:t>
            </w:r>
          </w:p>
        </w:tc>
        <w:tc>
          <w:p>
            <w:pPr>
              <w:pStyle w:val="Compact"/>
              <w:jc w:val="center"/>
            </w:pPr>
            <w:r>
              <w:t xml:space="preserve">30</w:t>
            </w:r>
          </w:p>
        </w:tc>
        <w:tc>
          <w:p>
            <w:pPr>
              <w:pStyle w:val="Compact"/>
              <w:jc w:val="center"/>
            </w:pPr>
            <w:r>
              <w:t xml:space="preserve">0.489</w:t>
            </w:r>
          </w:p>
        </w:tc>
        <w:tc>
          <w:p>
            <w:pPr>
              <w:pStyle w:val="Compact"/>
              <w:jc w:val="center"/>
            </w:pPr>
            <w:r>
              <w:t xml:space="preserve">0.056</w:t>
            </w:r>
          </w:p>
        </w:tc>
        <w:tc>
          <w:p>
            <w:pPr>
              <w:pStyle w:val="Compact"/>
              <w:jc w:val="center"/>
            </w:pPr>
            <w:r>
              <w:t xml:space="preserve">0.114</w:t>
            </w:r>
          </w:p>
        </w:tc>
      </w:tr>
      <w:tr>
        <w:tc>
          <w:p>
            <w:pPr>
              <w:pStyle w:val="Compact"/>
              <w:jc w:val="center"/>
            </w:pPr>
            <w:r>
              <w:t xml:space="preserve">CRLOL-s</w:t>
            </w:r>
          </w:p>
        </w:tc>
        <w:tc>
          <w:p>
            <w:pPr>
              <w:pStyle w:val="Compact"/>
              <w:jc w:val="center"/>
            </w:pPr>
            <w:r>
              <w:t xml:space="preserve">2019</w:t>
            </w:r>
          </w:p>
        </w:tc>
        <w:tc>
          <w:p>
            <w:pPr>
              <w:pStyle w:val="Compact"/>
              <w:jc w:val="center"/>
            </w:pPr>
            <w:r>
              <w:t xml:space="preserve">141 (0.565)</w:t>
            </w:r>
          </w:p>
        </w:tc>
        <w:tc>
          <w:p>
            <w:pPr>
              <w:pStyle w:val="Compact"/>
              <w:jc w:val="center"/>
            </w:pPr>
            <w:r>
              <w:t xml:space="preserve">18</w:t>
            </w:r>
          </w:p>
        </w:tc>
        <w:tc>
          <w:p>
            <w:pPr>
              <w:pStyle w:val="Compact"/>
              <w:jc w:val="center"/>
            </w:pPr>
            <w:r>
              <w:t xml:space="preserve">2,214 (0.383)</w:t>
            </w:r>
          </w:p>
        </w:tc>
        <w:tc>
          <w:p>
            <w:pPr>
              <w:pStyle w:val="Compact"/>
              <w:jc w:val="center"/>
            </w:pPr>
            <w:r>
              <w:t xml:space="preserve">16</w:t>
            </w:r>
          </w:p>
        </w:tc>
        <w:tc>
          <w:p>
            <w:pPr>
              <w:pStyle w:val="Compact"/>
              <w:jc w:val="center"/>
            </w:pPr>
            <w:r>
              <w:t xml:space="preserve">0.06</w:t>
            </w:r>
          </w:p>
        </w:tc>
        <w:tc>
          <w:p>
            <w:pPr>
              <w:pStyle w:val="Compact"/>
              <w:jc w:val="center"/>
            </w:pPr>
            <w:r>
              <w:t xml:space="preserve">0.038</w:t>
            </w:r>
          </w:p>
        </w:tc>
        <w:tc>
          <w:p>
            <w:pPr>
              <w:pStyle w:val="Compact"/>
              <w:jc w:val="center"/>
            </w:pPr>
            <w:r>
              <w:t xml:space="preserve">0.642</w:t>
            </w:r>
          </w:p>
        </w:tc>
      </w:tr>
      <w:tr>
        <w:tc>
          <w:p>
            <w:pPr>
              <w:pStyle w:val="Compact"/>
              <w:jc w:val="center"/>
            </w:pPr>
            <w:r>
              <w:t xml:space="preserve">CRSEL-s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2,177 (0.298)</w:t>
            </w:r>
          </w:p>
        </w:tc>
        <w:tc>
          <w:p>
            <w:pPr>
              <w:pStyle w:val="Compact"/>
              <w:jc w:val="center"/>
            </w:pPr>
            <w: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CRSEL-s</w:t>
            </w:r>
          </w:p>
        </w:tc>
        <w:tc>
          <w:p>
            <w:pPr>
              <w:pStyle w:val="Compact"/>
              <w:jc w:val="center"/>
            </w:pPr>
            <w:r>
              <w:t xml:space="preserve">2018</w:t>
            </w:r>
          </w:p>
        </w:tc>
        <w:tc>
          <w:p>
            <w:pPr>
              <w:pStyle w:val="Compact"/>
              <w:jc w:val="center"/>
            </w:pPr>
            <w:r>
              <w:t xml:space="preserve">16 (0.638)</w:t>
            </w:r>
          </w:p>
        </w:tc>
        <w:tc>
          <w:p>
            <w:pPr>
              <w:pStyle w:val="Compact"/>
              <w:jc w:val="center"/>
            </w:pPr>
            <w:r>
              <w:t xml:space="preserve">2</w:t>
            </w:r>
          </w:p>
        </w:tc>
        <w:tc>
          <w:p>
            <w:pPr>
              <w:pStyle w:val="Compact"/>
              <w:jc w:val="center"/>
            </w:pPr>
            <w:r>
              <w:t xml:space="preserve">306 (0.093)</w:t>
            </w:r>
          </w:p>
        </w:tc>
        <w:tc>
          <w:p>
            <w:pPr>
              <w:pStyle w:val="Compact"/>
              <w:jc w:val="center"/>
            </w:pPr>
            <w:r>
              <w:t xml:space="preserve">63</w:t>
            </w:r>
          </w:p>
        </w:tc>
        <w:tc>
          <w:p>
            <w:pPr>
              <w:pStyle w:val="Compact"/>
              <w:jc w:val="center"/>
            </w:pPr>
            <w:r>
              <w:t xml:space="preserve">0.05</w:t>
            </w:r>
          </w:p>
        </w:tc>
        <w:tc>
          <w:p>
            <w:pPr>
              <w:pStyle w:val="Compact"/>
              <w:jc w:val="center"/>
            </w:pPr>
            <w:r>
              <w:t xml:space="preserve">0.03</w:t>
            </w:r>
          </w:p>
        </w:tc>
        <w:tc>
          <w:p>
            <w:pPr>
              <w:pStyle w:val="Compact"/>
              <w:jc w:val="center"/>
            </w:pPr>
            <w:r>
              <w:t xml:space="preserve">0.612</w:t>
            </w:r>
          </w:p>
        </w:tc>
      </w:tr>
      <w:tr>
        <w:tc>
          <w:p>
            <w:pPr>
              <w:pStyle w:val="Compact"/>
              <w:jc w:val="center"/>
            </w:pPr>
            <w:r>
              <w:t xml:space="preserve">CRSEL-s</w:t>
            </w:r>
          </w:p>
        </w:tc>
        <w:tc>
          <w:p>
            <w:pPr>
              <w:pStyle w:val="Compact"/>
              <w:jc w:val="center"/>
            </w:pPr>
            <w:r>
              <w:t xml:space="preserve">2019</w:t>
            </w:r>
          </w:p>
        </w:tc>
        <w:tc>
          <w:p>
            <w:pPr>
              <w:pStyle w:val="Compact"/>
              <w:jc w:val="center"/>
            </w:pPr>
            <w:r>
              <w:t xml:space="preserve">123 (1.271)</w:t>
            </w:r>
          </w:p>
        </w:tc>
        <w:tc>
          <w:p>
            <w:pPr>
              <w:pStyle w:val="Compact"/>
              <w:jc w:val="center"/>
            </w:pPr>
            <w:r>
              <w:t xml:space="preserve">1</w:t>
            </w:r>
          </w:p>
        </w:tc>
        <w:tc>
          <w:p>
            <w:pPr>
              <w:pStyle w:val="Compact"/>
              <w:jc w:val="center"/>
            </w:pPr>
            <w:r>
              <w:t xml:space="preserve">272 (0.133)</w:t>
            </w:r>
          </w:p>
        </w:tc>
        <w:tc>
          <w:p>
            <w:pPr>
              <w:pStyle w:val="Compact"/>
              <w:jc w:val="center"/>
            </w:pPr>
            <w:r>
              <w:t xml:space="preserve">50</w:t>
            </w:r>
          </w:p>
        </w:tc>
        <w:tc>
          <w:p>
            <w:pPr>
              <w:pStyle w:val="Compact"/>
              <w:jc w:val="center"/>
            </w:pPr>
            <w:r>
              <w:t xml:space="preserve">0.311</w:t>
            </w:r>
          </w:p>
        </w:tc>
        <w:tc>
          <w:p>
            <w:pPr>
              <w:pStyle w:val="Compact"/>
              <w:jc w:val="center"/>
            </w:pPr>
            <w:r>
              <w:t xml:space="preserve">0.274</w:t>
            </w:r>
          </w:p>
        </w:tc>
        <w:tc>
          <w:p>
            <w:pPr>
              <w:pStyle w:val="Compact"/>
              <w:jc w:val="center"/>
            </w:pPr>
            <w:r>
              <w:t xml:space="preserve">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3,824 (0.07)</w:t>
            </w:r>
          </w:p>
        </w:tc>
        <w:tc>
          <w:p>
            <w:pPr>
              <w:pStyle w:val="Compact"/>
              <w:jc w:val="center"/>
            </w:pPr>
            <w:r>
              <w:t xml:space="preserve">634</w:t>
            </w:r>
          </w:p>
        </w:tc>
        <w:tc>
          <w:p>
            <w:pPr>
              <w:pStyle w:val="Compact"/>
              <w:jc w:val="center"/>
            </w:pPr>
            <w:r>
              <w:t xml:space="preserve">500 (0.081)</w:t>
            </w:r>
          </w:p>
        </w:tc>
        <w:tc>
          <w:p>
            <w:pPr>
              <w:pStyle w:val="Compact"/>
              <w:jc w:val="center"/>
            </w:pPr>
            <w:r>
              <w:t xml:space="preserve">81</w:t>
            </w:r>
          </w:p>
        </w:tc>
        <w:tc>
          <w:p>
            <w:pPr>
              <w:pStyle w:val="Compact"/>
              <w:jc w:val="center"/>
            </w:pPr>
            <w:r>
              <w:t xml:space="preserve">0.884</w:t>
            </w:r>
          </w:p>
        </w:tc>
        <w:tc>
          <w:p>
            <w:pPr>
              <w:pStyle w:val="Compact"/>
              <w:jc w:val="center"/>
            </w:pPr>
            <w:r>
              <w:t xml:space="preserve">0.011</w:t>
            </w:r>
          </w:p>
        </w:tc>
        <w:tc>
          <w:p>
            <w:pPr>
              <w:pStyle w:val="Compact"/>
              <w:jc w:val="center"/>
            </w:pPr>
            <w:r>
              <w:t xml:space="preserve">0.012</w:t>
            </w:r>
          </w:p>
        </w:tc>
      </w:tr>
      <w:tr>
        <w:tc>
          <w:p>
            <w:pPr>
              <w:pStyle w:val="Compact"/>
              <w:jc w:val="center"/>
            </w:pPr>
            <w:r>
              <w:t xml:space="preserve">CRSFC-s</w:t>
            </w:r>
          </w:p>
        </w:tc>
        <w:tc>
          <w:p>
            <w:pPr>
              <w:pStyle w:val="Compact"/>
              <w:jc w:val="center"/>
            </w:pPr>
            <w:r>
              <w:t xml:space="preserve">2018</w:t>
            </w:r>
          </w:p>
        </w:tc>
        <w:tc>
          <w:p>
            <w:pPr>
              <w:pStyle w:val="Compact"/>
              <w:jc w:val="center"/>
            </w:pPr>
            <w:r>
              <w:t xml:space="preserve">976 (0.079)</w:t>
            </w:r>
          </w:p>
        </w:tc>
        <w:tc>
          <w:p>
            <w:pPr>
              <w:pStyle w:val="Compact"/>
              <w:jc w:val="center"/>
            </w:pPr>
            <w:r>
              <w:t xml:space="preserve">197</w:t>
            </w:r>
          </w:p>
        </w:tc>
        <w:tc>
          <w:p>
            <w:pPr>
              <w:pStyle w:val="Compact"/>
              <w:jc w:val="center"/>
            </w:pPr>
            <w:r>
              <w:t xml:space="preserve">123 (0.137)</w:t>
            </w:r>
          </w:p>
        </w:tc>
        <w:tc>
          <w:p>
            <w:pPr>
              <w:pStyle w:val="Compact"/>
              <w:jc w:val="center"/>
            </w:pPr>
            <w:r>
              <w:t xml:space="preserve">20</w:t>
            </w:r>
          </w:p>
        </w:tc>
        <w:tc>
          <w:p>
            <w:pPr>
              <w:pStyle w:val="Compact"/>
              <w:jc w:val="center"/>
            </w:pPr>
            <w:r>
              <w:t xml:space="preserve">0.888</w:t>
            </w:r>
          </w:p>
        </w:tc>
        <w:tc>
          <w:p>
            <w:pPr>
              <w:pStyle w:val="Compact"/>
              <w:jc w:val="center"/>
            </w:pPr>
            <w:r>
              <w:t xml:space="preserve">0.016</w:t>
            </w:r>
          </w:p>
        </w:tc>
        <w:tc>
          <w:p>
            <w:pPr>
              <w:pStyle w:val="Compact"/>
              <w:jc w:val="center"/>
            </w:pPr>
            <w:r>
              <w:t xml:space="preserve">0.018</w:t>
            </w:r>
          </w:p>
        </w:tc>
      </w:tr>
      <w:tr>
        <w:tc>
          <w:p>
            <w:pPr>
              <w:pStyle w:val="Compact"/>
              <w:jc w:val="center"/>
            </w:pPr>
            <w:r>
              <w:t xml:space="preserve">CRSFC-s</w:t>
            </w:r>
          </w:p>
        </w:tc>
        <w:tc>
          <w:p>
            <w:pPr>
              <w:pStyle w:val="Compact"/>
              <w:jc w:val="center"/>
            </w:pPr>
            <w:r>
              <w:t xml:space="preserve">2019</w:t>
            </w:r>
          </w:p>
        </w:tc>
        <w:tc>
          <w:p>
            <w:pPr>
              <w:pStyle w:val="Compact"/>
              <w:jc w:val="center"/>
            </w:pPr>
            <w:r>
              <w:t xml:space="preserve">1,567 (0.105)</w:t>
            </w:r>
          </w:p>
        </w:tc>
        <w:tc>
          <w:p>
            <w:pPr>
              <w:pStyle w:val="Compact"/>
              <w:jc w:val="center"/>
            </w:pPr>
            <w:r>
              <w:t xml:space="preserve">327</w:t>
            </w:r>
          </w:p>
        </w:tc>
        <w:tc>
          <w:p>
            <w:pPr>
              <w:pStyle w:val="Compact"/>
              <w:jc w:val="center"/>
            </w:pPr>
            <w:r>
              <w:t xml:space="preserve">154 (0.157)</w:t>
            </w:r>
          </w:p>
        </w:tc>
        <w:tc>
          <w:p>
            <w:pPr>
              <w:pStyle w:val="Compact"/>
              <w:jc w:val="center"/>
            </w:pPr>
            <w:r>
              <w:t xml:space="preserve">26</w:t>
            </w:r>
          </w:p>
        </w:tc>
        <w:tc>
          <w:p>
            <w:pPr>
              <w:pStyle w:val="Compact"/>
              <w:jc w:val="center"/>
            </w:pPr>
            <w:r>
              <w:t xml:space="preserve">0.911</w:t>
            </w:r>
          </w:p>
        </w:tc>
        <w:tc>
          <w:p>
            <w:pPr>
              <w:pStyle w:val="Compact"/>
              <w:jc w:val="center"/>
            </w:pPr>
            <w:r>
              <w:t xml:space="preserve">0.015</w:t>
            </w:r>
          </w:p>
        </w:tc>
        <w:tc>
          <w:p>
            <w:pPr>
              <w:pStyle w:val="Compact"/>
              <w:jc w:val="center"/>
            </w:pPr>
            <w:r>
              <w:t xml:space="preserve">0.017</w:t>
            </w:r>
          </w:p>
        </w:tc>
      </w:tr>
      <w:tr>
        <w:tc>
          <w:p>
            <w:pPr>
              <w:pStyle w:val="Compact"/>
              <w:jc w:val="center"/>
            </w:pPr>
            <w:r>
              <w:t xml:space="preserve">GRJOS-s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616 (0.068)</w:t>
            </w:r>
          </w:p>
        </w:tc>
        <w:tc>
          <w:p>
            <w:pPr>
              <w:pStyle w:val="Compact"/>
              <w:jc w:val="center"/>
            </w:pPr>
            <w:r>
              <w:t xml:space="preserve">118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GRJOS-s</w:t>
            </w:r>
          </w:p>
        </w:tc>
        <w:tc>
          <w:p>
            <w:pPr>
              <w:pStyle w:val="Compact"/>
              <w:jc w:val="center"/>
            </w:pPr>
            <w:r>
              <w:t xml:space="preserve">2018</w:t>
            </w:r>
          </w:p>
        </w:tc>
        <w:tc>
          <w:p>
            <w:pPr>
              <w:pStyle w:val="Compact"/>
              <w:jc w:val="center"/>
            </w:pPr>
            <w:r>
              <w:t xml:space="preserve">14 (0.607)</w:t>
            </w:r>
          </w:p>
        </w:tc>
        <w:tc>
          <w:p>
            <w:pPr>
              <w:pStyle w:val="Compact"/>
              <w:jc w:val="center"/>
            </w:pPr>
            <w:r>
              <w:t xml:space="preserve">2</w:t>
            </w:r>
          </w:p>
        </w:tc>
        <w:tc>
          <w:p>
            <w:pPr>
              <w:pStyle w:val="Compact"/>
              <w:jc w:val="center"/>
            </w:pPr>
            <w:r>
              <w:t xml:space="preserve">753 (0.066)</w:t>
            </w:r>
          </w:p>
        </w:tc>
        <w:tc>
          <w:p>
            <w:pPr>
              <w:pStyle w:val="Compact"/>
              <w:jc w:val="center"/>
            </w:pPr>
            <w:r>
              <w:t xml:space="preserve">169</w:t>
            </w:r>
          </w:p>
        </w:tc>
        <w:tc>
          <w:p>
            <w:pPr>
              <w:pStyle w:val="Compact"/>
              <w:jc w:val="center"/>
            </w:pPr>
            <w:r>
              <w:t xml:space="preserve">0.018</w:t>
            </w:r>
          </w:p>
        </w:tc>
        <w:tc>
          <w:p>
            <w:pPr>
              <w:pStyle w:val="Compact"/>
              <w:jc w:val="center"/>
            </w:pPr>
            <w:r>
              <w:t xml:space="preserve">0.011</w:t>
            </w:r>
          </w:p>
        </w:tc>
        <w:tc>
          <w:p>
            <w:pPr>
              <w:pStyle w:val="Compact"/>
              <w:jc w:val="center"/>
            </w:pPr>
            <w:r>
              <w:t xml:space="preserve">0.6</w:t>
            </w:r>
          </w:p>
        </w:tc>
      </w:tr>
      <w:tr>
        <w:tc>
          <w:p>
            <w:pPr>
              <w:pStyle w:val="Compact"/>
              <w:jc w:val="center"/>
            </w:pPr>
            <w:r>
              <w:t xml:space="preserve">GRJOS-s</w:t>
            </w:r>
          </w:p>
        </w:tc>
        <w:tc>
          <w:p>
            <w:pPr>
              <w:pStyle w:val="Compact"/>
              <w:jc w:val="center"/>
            </w:pPr>
            <w:r>
              <w:t xml:space="preserve">2019</w:t>
            </w:r>
          </w:p>
        </w:tc>
        <w:tc>
          <w:p>
            <w:pPr>
              <w:pStyle w:val="Compact"/>
              <w:jc w:val="center"/>
            </w:pPr>
            <w:r>
              <w:t xml:space="preserve">20 (0.865)</w:t>
            </w:r>
          </w:p>
        </w:tc>
        <w:tc>
          <w:p>
            <w:pPr>
              <w:pStyle w:val="Compact"/>
              <w:jc w:val="center"/>
            </w:pPr>
            <w:r>
              <w:t xml:space="preserve">2</w:t>
            </w:r>
          </w:p>
        </w:tc>
        <w:tc>
          <w:p>
            <w:pPr>
              <w:pStyle w:val="Compact"/>
              <w:jc w:val="center"/>
            </w:pPr>
            <w:r>
              <w:t xml:space="preserve">487 (0.146)</w:t>
            </w:r>
          </w:p>
        </w:tc>
        <w:tc>
          <w:p>
            <w:pPr>
              <w:pStyle w:val="Compact"/>
              <w:jc w:val="center"/>
            </w:pPr>
            <w:r>
              <w:t xml:space="preserve">100</w:t>
            </w:r>
          </w:p>
        </w:tc>
        <w:tc>
          <w:p>
            <w:pPr>
              <w:pStyle w:val="Compact"/>
              <w:jc w:val="center"/>
            </w:pPr>
            <w:r>
              <w:t xml:space="preserve">0.039</w:t>
            </w:r>
          </w:p>
        </w:tc>
        <w:tc>
          <w:p>
            <w:pPr>
              <w:pStyle w:val="Compact"/>
              <w:jc w:val="center"/>
            </w:pPr>
            <w:r>
              <w:t xml:space="preserve">0.033</w:t>
            </w:r>
          </w:p>
        </w:tc>
        <w:tc>
          <w:p>
            <w:pPr>
              <w:pStyle w:val="Compact"/>
              <w:jc w:val="center"/>
            </w:pPr>
            <w:r>
              <w:t xml:space="preserve">0.843</w:t>
            </w:r>
          </w:p>
        </w:tc>
      </w:tr>
      <w:tr>
        <w:tc>
          <w:p>
            <w:pPr>
              <w:pStyle w:val="Compact"/>
              <w:jc w:val="center"/>
            </w:pPr>
            <w:r>
              <w:t xml:space="preserve">GRLMT-s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433 (0.183)</w:t>
            </w:r>
          </w:p>
        </w:tc>
        <w:tc>
          <w:p>
            <w:pPr>
              <w:pStyle w:val="Compact"/>
              <w:jc w:val="center"/>
            </w:pPr>
            <w:r>
              <w:t xml:space="preserve">86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582 (0.058)</w:t>
            </w:r>
          </w:p>
        </w:tc>
        <w:tc>
          <w:p>
            <w:pPr>
              <w:pStyle w:val="Compact"/>
              <w:jc w:val="center"/>
            </w:pPr>
            <w:r>
              <w:t xml:space="preserve">115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446 (0.07)</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403 (0.112)</w:t>
            </w:r>
          </w:p>
        </w:tc>
        <w:tc>
          <w:p>
            <w:pPr>
              <w:pStyle w:val="Compact"/>
              <w:jc w:val="center"/>
            </w:pPr>
            <w: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GRWAL-s</w:t>
            </w:r>
          </w:p>
        </w:tc>
        <w:tc>
          <w:p>
            <w:pPr>
              <w:pStyle w:val="Compact"/>
              <w:jc w:val="center"/>
            </w:pPr>
            <w:r>
              <w:t xml:space="preserve">2017</w:t>
            </w:r>
          </w:p>
        </w:tc>
        <w:tc>
          <w:p>
            <w:pPr>
              <w:pStyle w:val="Compact"/>
              <w:jc w:val="center"/>
            </w:pPr>
            <w:r>
              <w:t xml:space="preserve">72 (0.293)</w:t>
            </w:r>
          </w:p>
        </w:tc>
        <w:tc>
          <w:p>
            <w:pPr>
              <w:pStyle w:val="Compact"/>
              <w:jc w:val="center"/>
            </w:pPr>
            <w:r>
              <w:t xml:space="preserve">12</w:t>
            </w:r>
          </w:p>
        </w:tc>
        <w:tc>
          <w:p>
            <w:pPr>
              <w:pStyle w:val="Compact"/>
              <w:jc w:val="center"/>
            </w:pPr>
            <w:r>
              <w:t xml:space="preserve">457 (0.067)</w:t>
            </w:r>
          </w:p>
        </w:tc>
        <w:tc>
          <w:p>
            <w:pPr>
              <w:pStyle w:val="Compact"/>
              <w:jc w:val="center"/>
            </w:pPr>
            <w:r>
              <w:t xml:space="preserve">86</w:t>
            </w:r>
          </w:p>
        </w:tc>
        <w:tc>
          <w:p>
            <w:pPr>
              <w:pStyle w:val="Compact"/>
              <w:jc w:val="center"/>
            </w:pPr>
            <w:r>
              <w:t xml:space="preserve">0.136</w:t>
            </w:r>
          </w:p>
        </w:tc>
        <w:tc>
          <w:p>
            <w:pPr>
              <w:pStyle w:val="Compact"/>
              <w:jc w:val="center"/>
            </w:pPr>
            <w:r>
              <w:t xml:space="preserve">0.035</w:t>
            </w:r>
          </w:p>
        </w:tc>
        <w:tc>
          <w:p>
            <w:pPr>
              <w:pStyle w:val="Compact"/>
              <w:jc w:val="center"/>
            </w:pPr>
            <w:r>
              <w:t xml:space="preserve">0.26</w:t>
            </w:r>
          </w:p>
        </w:tc>
      </w:tr>
      <w:tr>
        <w:tc>
          <w:p>
            <w:pPr>
              <w:pStyle w:val="Compact"/>
              <w:jc w:val="center"/>
            </w:pPr>
            <w:r>
              <w:t xml:space="preserve">GRWAL-s</w:t>
            </w:r>
          </w:p>
        </w:tc>
        <w:tc>
          <w:p>
            <w:pPr>
              <w:pStyle w:val="Compact"/>
              <w:jc w:val="center"/>
            </w:pPr>
            <w:r>
              <w:t xml:space="preserve">2018</w:t>
            </w:r>
          </w:p>
        </w:tc>
        <w:tc>
          <w:p>
            <w:pPr>
              <w:pStyle w:val="Compact"/>
              <w:jc w:val="center"/>
            </w:pPr>
            <w:r>
              <w:t xml:space="preserve">74 (0.261)</w:t>
            </w:r>
          </w:p>
        </w:tc>
        <w:tc>
          <w:p>
            <w:pPr>
              <w:pStyle w:val="Compact"/>
              <w:jc w:val="center"/>
            </w:pPr>
            <w:r>
              <w:t xml:space="preserve">16</w:t>
            </w:r>
          </w:p>
        </w:tc>
        <w:tc>
          <w:p>
            <w:pPr>
              <w:pStyle w:val="Compact"/>
              <w:jc w:val="center"/>
            </w:pPr>
            <w:r>
              <w:t xml:space="preserve">289 (0.08)</w:t>
            </w:r>
          </w:p>
        </w:tc>
        <w:tc>
          <w:p>
            <w:pPr>
              <w:pStyle w:val="Compact"/>
              <w:jc w:val="center"/>
            </w:pPr>
            <w:r>
              <w:t xml:space="preserve">66</w:t>
            </w:r>
          </w:p>
        </w:tc>
        <w:tc>
          <w:p>
            <w:pPr>
              <w:pStyle w:val="Compact"/>
              <w:jc w:val="center"/>
            </w:pPr>
            <w:r>
              <w:t xml:space="preserve">0.204</w:t>
            </w:r>
          </w:p>
        </w:tc>
        <w:tc>
          <w:p>
            <w:pPr>
              <w:pStyle w:val="Compact"/>
              <w:jc w:val="center"/>
            </w:pPr>
            <w:r>
              <w:t xml:space="preserve">0.044</w:t>
            </w:r>
          </w:p>
        </w:tc>
        <w:tc>
          <w:p>
            <w:pPr>
              <w:pStyle w:val="Compact"/>
              <w:jc w:val="center"/>
            </w:pPr>
            <w:r>
              <w:t xml:space="preserve">0.217</w:t>
            </w:r>
          </w:p>
        </w:tc>
      </w:tr>
      <w:tr>
        <w:tc>
          <w:p>
            <w:pPr>
              <w:pStyle w:val="Compact"/>
              <w:jc w:val="center"/>
            </w:pPr>
            <w:r>
              <w:t xml:space="preserve">GRWAL-s</w:t>
            </w:r>
          </w:p>
        </w:tc>
        <w:tc>
          <w:p>
            <w:pPr>
              <w:pStyle w:val="Compact"/>
              <w:jc w:val="center"/>
            </w:pPr>
            <w:r>
              <w:t xml:space="preserve">2019</w:t>
            </w:r>
          </w:p>
        </w:tc>
        <w:tc>
          <w:p>
            <w:pPr>
              <w:pStyle w:val="Compact"/>
              <w:jc w:val="center"/>
            </w:pPr>
            <w:r>
              <w:t xml:space="preserve">38 (0.379)</w:t>
            </w:r>
          </w:p>
        </w:tc>
        <w:tc>
          <w:p>
            <w:pPr>
              <w:pStyle w:val="Compact"/>
              <w:jc w:val="center"/>
            </w:pPr>
            <w:r>
              <w:t xml:space="preserve">7</w:t>
            </w:r>
          </w:p>
        </w:tc>
        <w:tc>
          <w:p>
            <w:pPr>
              <w:pStyle w:val="Compact"/>
              <w:jc w:val="center"/>
            </w:pPr>
            <w:r>
              <w:t xml:space="preserve">660 (0.217)</w:t>
            </w:r>
          </w:p>
        </w:tc>
        <w:tc>
          <w:p>
            <w:pPr>
              <w:pStyle w:val="Compact"/>
              <w:jc w:val="center"/>
            </w:pPr>
            <w:r>
              <w:t xml:space="preserve">105</w:t>
            </w:r>
          </w:p>
        </w:tc>
        <w:tc>
          <w:p>
            <w:pPr>
              <w:pStyle w:val="Compact"/>
              <w:jc w:val="center"/>
            </w:pPr>
            <w:r>
              <w:t xml:space="preserve">0.054</w:t>
            </w:r>
          </w:p>
        </w:tc>
        <w:tc>
          <w:p>
            <w:pPr>
              <w:pStyle w:val="Compact"/>
              <w:jc w:val="center"/>
            </w:pPr>
            <w:r>
              <w:t xml:space="preserve">0.022</w:t>
            </w:r>
          </w:p>
        </w:tc>
        <w:tc>
          <w:p>
            <w:pPr>
              <w:pStyle w:val="Compact"/>
              <w:jc w:val="center"/>
            </w:pPr>
            <w:r>
              <w:t xml:space="preserve">0.413</w:t>
            </w:r>
          </w:p>
        </w:tc>
      </w:tr>
      <w:tr>
        <w:tc>
          <w:p>
            <w:pPr>
              <w:pStyle w:val="Compact"/>
              <w:jc w:val="center"/>
            </w:pPr>
            <w:r>
              <w:t xml:space="preserve">IRMAI-s</w:t>
            </w:r>
          </w:p>
        </w:tc>
        <w:tc>
          <w:p>
            <w:pPr>
              <w:pStyle w:val="Compact"/>
              <w:jc w:val="center"/>
            </w:pPr>
            <w:r>
              <w:t xml:space="preserve">2017</w:t>
            </w:r>
          </w:p>
        </w:tc>
        <w:tc>
          <w:p>
            <w:pPr>
              <w:pStyle w:val="Compact"/>
              <w:jc w:val="center"/>
            </w:pPr>
            <w:r>
              <w:t xml:space="preserve">28 (0.475)</w:t>
            </w:r>
          </w:p>
        </w:tc>
        <w:tc>
          <w:p>
            <w:pPr>
              <w:pStyle w:val="Compact"/>
              <w:jc w:val="center"/>
            </w:pPr>
            <w:r>
              <w:t xml:space="preserve">4</w:t>
            </w:r>
          </w:p>
        </w:tc>
        <w:tc>
          <w:p>
            <w:pPr>
              <w:pStyle w:val="Compact"/>
              <w:jc w:val="center"/>
            </w:pPr>
            <w:r>
              <w:t xml:space="preserve">922 (0.057)</w:t>
            </w:r>
          </w:p>
        </w:tc>
        <w:tc>
          <w:p>
            <w:pPr>
              <w:pStyle w:val="Compact"/>
              <w:jc w:val="center"/>
            </w:pPr>
            <w:r>
              <w:t xml:space="preserve">187</w:t>
            </w:r>
          </w:p>
        </w:tc>
        <w:tc>
          <w:p>
            <w:pPr>
              <w:pStyle w:val="Compact"/>
              <w:jc w:val="center"/>
            </w:pPr>
            <w:r>
              <w:t xml:space="preserve">0.029</w:t>
            </w:r>
          </w:p>
        </w:tc>
        <w:tc>
          <w:p>
            <w:pPr>
              <w:pStyle w:val="Compact"/>
              <w:jc w:val="center"/>
            </w:pPr>
            <w:r>
              <w:t xml:space="preserve">0.014</w:t>
            </w:r>
          </w:p>
        </w:tc>
        <w:tc>
          <w:p>
            <w:pPr>
              <w:pStyle w:val="Compact"/>
              <w:jc w:val="center"/>
            </w:pPr>
            <w:r>
              <w:t xml:space="preserve">0.464</w:t>
            </w:r>
          </w:p>
        </w:tc>
      </w:tr>
      <w:tr>
        <w:tc>
          <w:p>
            <w:pPr>
              <w:pStyle w:val="Compact"/>
              <w:jc w:val="center"/>
            </w:pPr>
            <w:r>
              <w:t xml:space="preserve">IRMAI-s</w:t>
            </w:r>
          </w:p>
        </w:tc>
        <w:tc>
          <w:p>
            <w:pPr>
              <w:pStyle w:val="Compact"/>
              <w:jc w:val="center"/>
            </w:pPr>
            <w:r>
              <w:t xml:space="preserve">2018</w:t>
            </w:r>
          </w:p>
        </w:tc>
        <w:tc>
          <w:p>
            <w:pPr>
              <w:pStyle w:val="Compact"/>
              <w:jc w:val="center"/>
            </w:pPr>
            <w:r>
              <w:t xml:space="preserve">17 (0.488)</w:t>
            </w:r>
          </w:p>
        </w:tc>
        <w:tc>
          <w:p>
            <w:pPr>
              <w:pStyle w:val="Compact"/>
              <w:jc w:val="center"/>
            </w:pPr>
            <w:r>
              <w:t xml:space="preserve">3</w:t>
            </w:r>
          </w:p>
        </w:tc>
        <w:tc>
          <w:p>
            <w:pPr>
              <w:pStyle w:val="Compact"/>
              <w:jc w:val="center"/>
            </w:pPr>
            <w:r>
              <w:t xml:space="preserve">672 (0.062)</w:t>
            </w:r>
          </w:p>
        </w:tc>
        <w:tc>
          <w:p>
            <w:pPr>
              <w:pStyle w:val="Compact"/>
              <w:jc w:val="center"/>
            </w:pPr>
            <w:r>
              <w:t xml:space="preserve">155</w:t>
            </w:r>
          </w:p>
        </w:tc>
        <w:tc>
          <w:p>
            <w:pPr>
              <w:pStyle w:val="Compact"/>
              <w:jc w:val="center"/>
            </w:pPr>
            <w:r>
              <w:t xml:space="preserve">0.025</w:t>
            </w:r>
          </w:p>
        </w:tc>
        <w:tc>
          <w:p>
            <w:pPr>
              <w:pStyle w:val="Compact"/>
              <w:jc w:val="center"/>
            </w:pPr>
            <w:r>
              <w:t xml:space="preserve">0.012</w:t>
            </w:r>
          </w:p>
        </w:tc>
        <w:tc>
          <w:p>
            <w:pPr>
              <w:pStyle w:val="Compact"/>
              <w:jc w:val="center"/>
            </w:pPr>
            <w:r>
              <w:t xml:space="preserve">0.48</w:t>
            </w:r>
          </w:p>
        </w:tc>
      </w:tr>
      <w:tr>
        <w:tc>
          <w:p>
            <w:pPr>
              <w:pStyle w:val="Compact"/>
              <w:jc w:val="center"/>
            </w:pPr>
            <w:r>
              <w:t xml:space="preserve">IRMAI-s</w:t>
            </w:r>
          </w:p>
        </w:tc>
        <w:tc>
          <w:p>
            <w:pPr>
              <w:pStyle w:val="Compact"/>
              <w:jc w:val="center"/>
            </w:pPr>
            <w:r>
              <w:t xml:space="preserve">2019</w:t>
            </w:r>
          </w:p>
        </w:tc>
        <w:tc>
          <w:p>
            <w:pPr>
              <w:pStyle w:val="Compact"/>
              <w:jc w:val="center"/>
            </w:pPr>
            <w:r>
              <w:t xml:space="preserve">18 (0.517)</w:t>
            </w:r>
          </w:p>
        </w:tc>
        <w:tc>
          <w:p>
            <w:pPr>
              <w:pStyle w:val="Compact"/>
              <w:jc w:val="center"/>
            </w:pPr>
            <w:r>
              <w:t xml:space="preserve">3</w:t>
            </w:r>
          </w:p>
        </w:tc>
        <w:tc>
          <w:p>
            <w:pPr>
              <w:pStyle w:val="Compact"/>
              <w:jc w:val="center"/>
            </w:pPr>
            <w:r>
              <w:t xml:space="preserve">725 (0.173)</w:t>
            </w:r>
          </w:p>
        </w:tc>
        <w:tc>
          <w:p>
            <w:pPr>
              <w:pStyle w:val="Compact"/>
              <w:jc w:val="center"/>
            </w:pPr>
            <w:r>
              <w:t xml:space="preserve">118</w:t>
            </w:r>
          </w:p>
        </w:tc>
        <w:tc>
          <w:p>
            <w:pPr>
              <w:pStyle w:val="Compact"/>
              <w:jc w:val="center"/>
            </w:pPr>
            <w:r>
              <w:t xml:space="preserve">0.024</w:t>
            </w:r>
          </w:p>
        </w:tc>
        <w:tc>
          <w:p>
            <w:pPr>
              <w:pStyle w:val="Compact"/>
              <w:jc w:val="center"/>
            </w:pPr>
            <w:r>
              <w:t xml:space="preserve">0.013</w:t>
            </w:r>
          </w:p>
        </w:tc>
        <w:tc>
          <w:p>
            <w:pPr>
              <w:pStyle w:val="Compact"/>
              <w:jc w:val="center"/>
            </w:pPr>
            <w:r>
              <w:t xml:space="preserve">0.532</w:t>
            </w:r>
          </w:p>
        </w:tc>
      </w:tr>
      <w:tr>
        <w:tc>
          <w:p>
            <w:pPr>
              <w:pStyle w:val="Compact"/>
              <w:jc w:val="center"/>
            </w:pPr>
            <w:r>
              <w:t xml:space="preserve">MFBIG-s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69 (0.177)</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11 (0.955)</w:t>
            </w:r>
          </w:p>
        </w:tc>
        <w:tc>
          <w:p>
            <w:pPr>
              <w:pStyle w:val="Compact"/>
              <w:jc w:val="center"/>
            </w:pPr>
            <w:r>
              <w:t xml:space="preserve">1</w:t>
            </w:r>
          </w:p>
        </w:tc>
        <w:tc>
          <w:p>
            <w:pPr>
              <w:pStyle w:val="Compact"/>
              <w:jc w:val="center"/>
            </w:pPr>
            <w:r>
              <w:t xml:space="preserve">140 (0.108)</w:t>
            </w:r>
          </w:p>
        </w:tc>
        <w:tc>
          <w:p>
            <w:pPr>
              <w:pStyle w:val="Compact"/>
              <w:jc w:val="center"/>
            </w:pPr>
            <w:r>
              <w:t xml:space="preserve">32</w:t>
            </w:r>
          </w:p>
        </w:tc>
        <w:tc>
          <w:p>
            <w:pPr>
              <w:pStyle w:val="Compact"/>
              <w:jc w:val="center"/>
            </w:pPr>
            <w:r>
              <w:t xml:space="preserve">0.073</w:t>
            </w:r>
          </w:p>
        </w:tc>
        <w:tc>
          <w:p>
            <w:pPr>
              <w:pStyle w:val="Compact"/>
              <w:jc w:val="center"/>
            </w:pPr>
            <w:r>
              <w:t xml:space="preserve">0.065</w:t>
            </w:r>
          </w:p>
        </w:tc>
        <w:tc>
          <w:p>
            <w:pPr>
              <w:pStyle w:val="Compact"/>
              <w:jc w:val="center"/>
            </w:pPr>
            <w:r>
              <w:t xml:space="preserve">0.891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82 (0.168)</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SFMAI-s</w:t>
            </w:r>
          </w:p>
        </w:tc>
        <w:tc>
          <w:p>
            <w:pPr>
              <w:pStyle w:val="Compact"/>
              <w:jc w:val="center"/>
            </w:pPr>
            <w:r>
              <w:t xml:space="preserve">2017</w:t>
            </w:r>
          </w:p>
        </w:tc>
        <w:tc>
          <w:p>
            <w:pPr>
              <w:pStyle w:val="Compact"/>
              <w:jc w:val="center"/>
            </w:pPr>
            <w:r>
              <w:t xml:space="preserve">11 (0.653)</w:t>
            </w:r>
          </w:p>
        </w:tc>
        <w:tc>
          <w:p>
            <w:pPr>
              <w:pStyle w:val="Compact"/>
              <w:jc w:val="center"/>
            </w:pPr>
            <w:r>
              <w:t xml:space="preserve">1</w:t>
            </w:r>
          </w:p>
        </w:tc>
        <w:tc>
          <w:p>
            <w:pPr>
              <w:pStyle w:val="Compact"/>
              <w:jc w:val="center"/>
            </w:pPr>
            <w:r>
              <w:t xml:space="preserve">487 (0.082)</w:t>
            </w:r>
          </w:p>
        </w:tc>
        <w:tc>
          <w:p>
            <w:pPr>
              <w:pStyle w:val="Compact"/>
              <w:jc w:val="center"/>
            </w:pPr>
            <w:r>
              <w:t xml:space="preserve">84</w:t>
            </w:r>
          </w:p>
        </w:tc>
        <w:tc>
          <w:p>
            <w:pPr>
              <w:pStyle w:val="Compact"/>
              <w:jc w:val="center"/>
            </w:pPr>
            <w:r>
              <w:t xml:space="preserve">0.022</w:t>
            </w:r>
          </w:p>
        </w:tc>
        <w:tc>
          <w:p>
            <w:pPr>
              <w:pStyle w:val="Compact"/>
              <w:jc w:val="center"/>
            </w:pPr>
            <w:r>
              <w:t xml:space="preserve">0.014</w:t>
            </w:r>
          </w:p>
        </w:tc>
        <w:tc>
          <w:p>
            <w:pPr>
              <w:pStyle w:val="Compact"/>
              <w:jc w:val="center"/>
            </w:pPr>
            <w:r>
              <w:t xml:space="preserve">0.644</w:t>
            </w:r>
          </w:p>
        </w:tc>
      </w:tr>
      <w:tr>
        <w:tc>
          <w:p>
            <w:pPr>
              <w:pStyle w:val="Compact"/>
              <w:jc w:val="center"/>
            </w:pPr>
            <w:r>
              <w:t xml:space="preserve">SFMAI-s</w:t>
            </w:r>
          </w:p>
        </w:tc>
        <w:tc>
          <w:p>
            <w:pPr>
              <w:pStyle w:val="Compact"/>
              <w:jc w:val="center"/>
            </w:pPr>
            <w:r>
              <w:t xml:space="preserve">2018</w:t>
            </w:r>
          </w:p>
        </w:tc>
        <w:tc>
          <w:p>
            <w:pPr>
              <w:pStyle w:val="Compact"/>
              <w:jc w:val="center"/>
            </w:pPr>
            <w:r>
              <w:t xml:space="preserve">9 (0.626)</w:t>
            </w:r>
          </w:p>
        </w:tc>
        <w:tc>
          <w:p>
            <w:pPr>
              <w:pStyle w:val="Compact"/>
              <w:jc w:val="center"/>
            </w:pPr>
            <w:r>
              <w:t xml:space="preserve">1</w:t>
            </w:r>
          </w:p>
        </w:tc>
        <w:tc>
          <w:p>
            <w:pPr>
              <w:pStyle w:val="Compact"/>
              <w:jc w:val="center"/>
            </w:pPr>
            <w:r>
              <w:t xml:space="preserve">148 (0.127)</w:t>
            </w:r>
          </w:p>
        </w:tc>
        <w:tc>
          <w:p>
            <w:pPr>
              <w:pStyle w:val="Compact"/>
              <w:jc w:val="center"/>
            </w:pPr>
            <w:r>
              <w:t xml:space="preserve">30</w:t>
            </w:r>
          </w:p>
        </w:tc>
        <w:tc>
          <w:p>
            <w:pPr>
              <w:pStyle w:val="Compact"/>
              <w:jc w:val="center"/>
            </w:pPr>
            <w:r>
              <w:t xml:space="preserve">0.057</w:t>
            </w:r>
          </w:p>
        </w:tc>
        <w:tc>
          <w:p>
            <w:pPr>
              <w:pStyle w:val="Compact"/>
              <w:jc w:val="center"/>
            </w:pPr>
            <w:r>
              <w:t xml:space="preserve">0.034</w:t>
            </w:r>
          </w:p>
        </w:tc>
        <w:tc>
          <w:p>
            <w:pPr>
              <w:pStyle w:val="Compact"/>
              <w:jc w:val="center"/>
            </w:pPr>
            <w:r>
              <w:t xml:space="preserve">0.602</w:t>
            </w:r>
          </w:p>
        </w:tc>
      </w:tr>
      <w:tr>
        <w:tc>
          <w:p>
            <w:pPr>
              <w:pStyle w:val="Compact"/>
              <w:jc w:val="center"/>
            </w:pPr>
            <w:r>
              <w:t xml:space="preserve">SFMAI-s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198 (0.148)</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75 (0.236)</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38 (0.321)</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28 (0.415)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SNASO-s</w:t>
            </w:r>
          </w:p>
        </w:tc>
        <w:tc>
          <w:p>
            <w:pPr>
              <w:pStyle w:val="Compact"/>
              <w:jc w:val="center"/>
            </w:pPr>
            <w:r>
              <w:t xml:space="preserve">2017</w:t>
            </w:r>
          </w:p>
        </w:tc>
        <w:tc>
          <w:p>
            <w:pPr>
              <w:pStyle w:val="Compact"/>
              <w:jc w:val="center"/>
            </w:pPr>
            <w:r>
              <w:t xml:space="preserve">28 (0.46)</w:t>
            </w:r>
          </w:p>
        </w:tc>
        <w:tc>
          <w:p>
            <w:pPr>
              <w:pStyle w:val="Compact"/>
              <w:jc w:val="center"/>
            </w:pPr>
            <w:r>
              <w:t xml:space="preserve">3</w:t>
            </w:r>
          </w:p>
        </w:tc>
        <w:tc>
          <w:p>
            <w:pPr>
              <w:pStyle w:val="Compact"/>
              <w:jc w:val="center"/>
            </w:pPr>
            <w:r>
              <w:t xml:space="preserve">315 (0.071)</w:t>
            </w:r>
          </w:p>
        </w:tc>
        <w:tc>
          <w:p>
            <w:pPr>
              <w:pStyle w:val="Compact"/>
              <w:jc w:val="center"/>
            </w:pPr>
            <w:r>
              <w:t xml:space="preserve">60</w:t>
            </w:r>
          </w:p>
        </w:tc>
        <w:tc>
          <w:p>
            <w:pPr>
              <w:pStyle w:val="Compact"/>
              <w:jc w:val="center"/>
            </w:pPr>
            <w:r>
              <w:t xml:space="preserve">0.082</w:t>
            </w:r>
          </w:p>
        </w:tc>
        <w:tc>
          <w:p>
            <w:pPr>
              <w:pStyle w:val="Compact"/>
              <w:jc w:val="center"/>
            </w:pPr>
            <w:r>
              <w:t xml:space="preserve">0.035</w:t>
            </w:r>
          </w:p>
        </w:tc>
        <w:tc>
          <w:p>
            <w:pPr>
              <w:pStyle w:val="Compact"/>
              <w:jc w:val="center"/>
            </w:pPr>
            <w:r>
              <w:t xml:space="preserve">0.428</w:t>
            </w:r>
          </w:p>
        </w:tc>
      </w:tr>
      <w:tr>
        <w:tc>
          <w:p>
            <w:pPr>
              <w:pStyle w:val="Compact"/>
              <w:jc w:val="center"/>
            </w:pPr>
            <w:r>
              <w:t xml:space="preserve">SNASO-s</w:t>
            </w:r>
          </w:p>
        </w:tc>
        <w:tc>
          <w:p>
            <w:pPr>
              <w:pStyle w:val="Compact"/>
              <w:jc w:val="center"/>
            </w:pPr>
            <w:r>
              <w:t xml:space="preserve">2018</w:t>
            </w:r>
          </w:p>
        </w:tc>
        <w:tc>
          <w:p>
            <w:pPr>
              <w:pStyle w:val="Compact"/>
              <w:jc w:val="center"/>
            </w:pPr>
            <w:r>
              <w:t xml:space="preserve">27 (0.396)</w:t>
            </w:r>
          </w:p>
        </w:tc>
        <w:tc>
          <w:p>
            <w:pPr>
              <w:pStyle w:val="Compact"/>
              <w:jc w:val="center"/>
            </w:pPr>
            <w:r>
              <w:t xml:space="preserve">2</w:t>
            </w:r>
          </w:p>
        </w:tc>
        <w:tc>
          <w:p>
            <w:pPr>
              <w:pStyle w:val="Compact"/>
              <w:jc w:val="center"/>
            </w:pPr>
            <w:r>
              <w:t xml:space="preserve">308 (0.066)</w:t>
            </w:r>
          </w:p>
        </w:tc>
        <w:tc>
          <w:p>
            <w:pPr>
              <w:pStyle w:val="Compact"/>
              <w:jc w:val="center"/>
            </w:pPr>
            <w:r>
              <w:t xml:space="preserve">61</w:t>
            </w:r>
          </w:p>
        </w:tc>
        <w:tc>
          <w:p>
            <w:pPr>
              <w:pStyle w:val="Compact"/>
              <w:jc w:val="center"/>
            </w:pPr>
            <w:r>
              <w:t xml:space="preserve">0.081</w:t>
            </w:r>
          </w:p>
        </w:tc>
        <w:tc>
          <w:p>
            <w:pPr>
              <w:pStyle w:val="Compact"/>
              <w:jc w:val="center"/>
            </w:pPr>
            <w:r>
              <w:t xml:space="preserve">0.03</w:t>
            </w:r>
          </w:p>
        </w:tc>
        <w:tc>
          <w:p>
            <w:pPr>
              <w:pStyle w:val="Compact"/>
              <w:jc w:val="center"/>
            </w:pPr>
            <w:r>
              <w:t xml:space="preserve">0.369</w:t>
            </w:r>
          </w:p>
        </w:tc>
      </w:tr>
      <w:tr>
        <w:tc>
          <w:p>
            <w:pPr>
              <w:pStyle w:val="Compact"/>
              <w:jc w:val="center"/>
            </w:pPr>
            <w:r>
              <w:t xml:space="preserve">SNASO-s</w:t>
            </w:r>
          </w:p>
        </w:tc>
        <w:tc>
          <w:p>
            <w:pPr>
              <w:pStyle w:val="Compact"/>
              <w:jc w:val="center"/>
            </w:pPr>
            <w:r>
              <w:t xml:space="preserve">2019</w:t>
            </w:r>
          </w:p>
        </w:tc>
        <w:tc>
          <w:p>
            <w:pPr>
              <w:pStyle w:val="Compact"/>
              <w:jc w:val="center"/>
            </w:pPr>
            <w:r>
              <w:t xml:space="preserve">10 (0.75)</w:t>
            </w:r>
          </w:p>
        </w:tc>
        <w:tc>
          <w:p>
            <w:pPr>
              <w:pStyle w:val="Compact"/>
              <w:jc w:val="center"/>
            </w:pPr>
            <w:r>
              <w:t xml:space="preserve">1</w:t>
            </w:r>
          </w:p>
        </w:tc>
        <w:tc>
          <w:p>
            <w:pPr>
              <w:pStyle w:val="Compact"/>
              <w:jc w:val="center"/>
            </w:pPr>
            <w:r>
              <w:t xml:space="preserve">326 (0.366)</w:t>
            </w:r>
          </w:p>
        </w:tc>
        <w:tc>
          <w:p>
            <w:pPr>
              <w:pStyle w:val="Compact"/>
              <w:jc w:val="center"/>
            </w:pPr>
            <w:r>
              <w:t xml:space="preserve">33</w:t>
            </w:r>
          </w:p>
        </w:tc>
        <w:tc>
          <w:p>
            <w:pPr>
              <w:pStyle w:val="Compact"/>
              <w:jc w:val="center"/>
            </w:pPr>
            <w:r>
              <w:t xml:space="preserve">0.03</w:t>
            </w:r>
          </w:p>
        </w:tc>
        <w:tc>
          <w:p>
            <w:pPr>
              <w:pStyle w:val="Compact"/>
              <w:jc w:val="center"/>
            </w:pPr>
            <w:r>
              <w:t xml:space="preserve">0.024</w:t>
            </w:r>
          </w:p>
        </w:tc>
        <w:tc>
          <w:p>
            <w:pPr>
              <w:pStyle w:val="Compact"/>
              <w:jc w:val="center"/>
            </w:pPr>
            <w:r>
              <w:t xml:space="preserve">0.81</w:t>
            </w:r>
          </w:p>
        </w:tc>
      </w:tr>
      <w:tr>
        <w:tc>
          <w:p>
            <w:pPr>
              <w:pStyle w:val="Compact"/>
              <w:jc w:val="center"/>
            </w:pPr>
            <w:r>
              <w:t xml:space="preserve">SNTUC-s</w:t>
            </w:r>
          </w:p>
        </w:tc>
        <w:tc>
          <w:p>
            <w:pPr>
              <w:pStyle w:val="Compact"/>
              <w:jc w:val="center"/>
            </w:pPr>
            <w:r>
              <w:t xml:space="preserve">2017</w:t>
            </w:r>
          </w:p>
        </w:tc>
        <w:tc>
          <w:p>
            <w:pPr>
              <w:pStyle w:val="Compact"/>
              <w:jc w:val="center"/>
            </w:pPr>
            <w:r>
              <w:t xml:space="preserve">91 (0.313)</w:t>
            </w:r>
          </w:p>
        </w:tc>
        <w:tc>
          <w:p>
            <w:pPr>
              <w:pStyle w:val="Compact"/>
              <w:jc w:val="center"/>
            </w:pPr>
            <w:r>
              <w:t xml:space="preserve">13</w:t>
            </w:r>
          </w:p>
        </w:tc>
        <w:tc>
          <w:p>
            <w:pPr>
              <w:pStyle w:val="Compact"/>
              <w:jc w:val="center"/>
            </w:pPr>
            <w:r>
              <w:t xml:space="preserve">302 (0.091)</w:t>
            </w:r>
          </w:p>
        </w:tc>
        <w:tc>
          <w:p>
            <w:pPr>
              <w:pStyle w:val="Compact"/>
              <w:jc w:val="center"/>
            </w:pPr>
            <w:r>
              <w:t xml:space="preserve">49</w:t>
            </w:r>
          </w:p>
        </w:tc>
        <w:tc>
          <w:p>
            <w:pPr>
              <w:pStyle w:val="Compact"/>
              <w:jc w:val="center"/>
            </w:pPr>
            <w:r>
              <w:t xml:space="preserve">0.232</w:t>
            </w:r>
          </w:p>
        </w:tc>
        <w:tc>
          <w:p>
            <w:pPr>
              <w:pStyle w:val="Compact"/>
              <w:jc w:val="center"/>
            </w:pPr>
            <w:r>
              <w:t xml:space="preserve">0.058</w:t>
            </w:r>
          </w:p>
        </w:tc>
        <w:tc>
          <w:p>
            <w:pPr>
              <w:pStyle w:val="Compact"/>
              <w:jc w:val="center"/>
            </w:pPr>
            <w:r>
              <w:t xml:space="preserve">0.251</w:t>
            </w:r>
          </w:p>
        </w:tc>
      </w:tr>
      <w:tr>
        <w:tc>
          <w:p>
            <w:pPr>
              <w:pStyle w:val="Compact"/>
              <w:jc w:val="center"/>
            </w:pPr>
            <w:r>
              <w:t xml:space="preserve">SNTUC-s</w:t>
            </w:r>
          </w:p>
        </w:tc>
        <w:tc>
          <w:p>
            <w:pPr>
              <w:pStyle w:val="Compact"/>
              <w:jc w:val="center"/>
            </w:pPr>
            <w:r>
              <w:t xml:space="preserve">2018</w:t>
            </w:r>
          </w:p>
        </w:tc>
        <w:tc>
          <w:p>
            <w:pPr>
              <w:pStyle w:val="Compact"/>
              <w:jc w:val="center"/>
            </w:pPr>
            <w:r>
              <w:t xml:space="preserve">125 (0.241)</w:t>
            </w:r>
          </w:p>
        </w:tc>
        <w:tc>
          <w:p>
            <w:pPr>
              <w:pStyle w:val="Compact"/>
              <w:jc w:val="center"/>
            </w:pPr>
            <w:r>
              <w:t xml:space="preserve">24</w:t>
            </w:r>
          </w:p>
        </w:tc>
        <w:tc>
          <w:p>
            <w:pPr>
              <w:pStyle w:val="Compact"/>
              <w:jc w:val="center"/>
            </w:pPr>
            <w:r>
              <w:t xml:space="preserve">481 (0.074)</w:t>
            </w:r>
          </w:p>
        </w:tc>
        <w:tc>
          <w:p>
            <w:pPr>
              <w:pStyle w:val="Compact"/>
              <w:jc w:val="center"/>
            </w:pPr>
            <w:r>
              <w:t xml:space="preserve">105</w:t>
            </w:r>
          </w:p>
        </w:tc>
        <w:tc>
          <w:p>
            <w:pPr>
              <w:pStyle w:val="Compact"/>
              <w:jc w:val="center"/>
            </w:pPr>
            <w:r>
              <w:t xml:space="preserve">0.206</w:t>
            </w:r>
          </w:p>
        </w:tc>
        <w:tc>
          <w:p>
            <w:pPr>
              <w:pStyle w:val="Compact"/>
              <w:jc w:val="center"/>
            </w:pPr>
            <w:r>
              <w:t xml:space="preserve">0.041</w:t>
            </w:r>
          </w:p>
        </w:tc>
        <w:tc>
          <w:p>
            <w:pPr>
              <w:pStyle w:val="Compact"/>
              <w:jc w:val="center"/>
            </w:pPr>
            <w:r>
              <w:t xml:space="preserve">0.2</w:t>
            </w:r>
          </w:p>
        </w:tc>
      </w:tr>
      <w:tr>
        <w:tc>
          <w:p>
            <w:pPr>
              <w:pStyle w:val="Compact"/>
              <w:jc w:val="center"/>
            </w:pPr>
            <w:r>
              <w:t xml:space="preserve">SNTUC-s</w:t>
            </w:r>
          </w:p>
        </w:tc>
        <w:tc>
          <w:p>
            <w:pPr>
              <w:pStyle w:val="Compact"/>
              <w:jc w:val="center"/>
            </w:pPr>
            <w:r>
              <w:t xml:space="preserve">2019</w:t>
            </w:r>
          </w:p>
        </w:tc>
        <w:tc>
          <w:p>
            <w:pPr>
              <w:pStyle w:val="Compact"/>
              <w:jc w:val="center"/>
            </w:pPr>
            <w:r>
              <w:t xml:space="preserve">67 (0.285)</w:t>
            </w:r>
          </w:p>
        </w:tc>
        <w:tc>
          <w:p>
            <w:pPr>
              <w:pStyle w:val="Compact"/>
              <w:jc w:val="center"/>
            </w:pPr>
            <w:r>
              <w:t xml:space="preserve">13</w:t>
            </w:r>
          </w:p>
        </w:tc>
        <w:tc>
          <w:p>
            <w:pPr>
              <w:pStyle w:val="Compact"/>
              <w:jc w:val="center"/>
            </w:pPr>
            <w:r>
              <w:t xml:space="preserve">294 (0.241)</w:t>
            </w:r>
          </w:p>
        </w:tc>
        <w:tc>
          <w:p>
            <w:pPr>
              <w:pStyle w:val="Compact"/>
              <w:jc w:val="center"/>
            </w:pPr>
            <w:r>
              <w:t xml:space="preserve">44</w:t>
            </w:r>
          </w:p>
        </w:tc>
        <w:tc>
          <w:p>
            <w:pPr>
              <w:pStyle w:val="Compact"/>
              <w:jc w:val="center"/>
            </w:pPr>
            <w:r>
              <w:t xml:space="preserve">0.186</w:t>
            </w:r>
          </w:p>
        </w:tc>
        <w:tc>
          <w:p>
            <w:pPr>
              <w:pStyle w:val="Compact"/>
              <w:jc w:val="center"/>
            </w:pPr>
            <w:r>
              <w:t xml:space="preserve">0.057</w:t>
            </w:r>
          </w:p>
        </w:tc>
        <w:tc>
          <w:p>
            <w:pPr>
              <w:pStyle w:val="Compact"/>
              <w:jc w:val="center"/>
            </w:pPr>
            <w:r>
              <w:t xml:space="preserve">0.304</w:t>
            </w:r>
          </w:p>
        </w:tc>
      </w:tr>
      <w:tr>
        <w:tc>
          <w:p>
            <w:pPr>
              <w:pStyle w:val="Compact"/>
              <w:jc w:val="center"/>
            </w:pPr>
            <w:r>
              <w:t xml:space="preserve">SREFS-s</w:t>
            </w:r>
          </w:p>
        </w:tc>
        <w:tc>
          <w:p>
            <w:pPr>
              <w:pStyle w:val="Compact"/>
              <w:jc w:val="center"/>
            </w:pPr>
            <w:r>
              <w:t xml:space="preserve">2017</w:t>
            </w:r>
          </w:p>
        </w:tc>
        <w:tc>
          <w:p>
            <w:pPr>
              <w:pStyle w:val="Compact"/>
              <w:jc w:val="center"/>
            </w:pPr>
            <w:r>
              <w:t xml:space="preserve">132 (0.211)</w:t>
            </w:r>
          </w:p>
        </w:tc>
        <w:tc>
          <w:p>
            <w:pPr>
              <w:pStyle w:val="Compact"/>
              <w:jc w:val="center"/>
            </w:pPr>
            <w:r>
              <w:t xml:space="preserve">24</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2018</w:t>
            </w:r>
          </w:p>
        </w:tc>
        <w:tc>
          <w:p>
            <w:pPr>
              <w:pStyle w:val="Compact"/>
              <w:jc w:val="center"/>
            </w:pPr>
            <w:r>
              <w:t xml:space="preserve">51 (0.292)</w:t>
            </w:r>
          </w:p>
        </w:tc>
        <w:tc>
          <w:p>
            <w:pPr>
              <w:pStyle w:val="Compact"/>
              <w:jc w:val="center"/>
            </w:pPr>
            <w:r>
              <w:t xml:space="preserve">12</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2019</w:t>
            </w:r>
          </w:p>
        </w:tc>
        <w:tc>
          <w:p>
            <w:pPr>
              <w:pStyle w:val="Compact"/>
              <w:jc w:val="center"/>
            </w:pPr>
            <w:r>
              <w:t xml:space="preserve">51 (0.308)</w:t>
            </w:r>
          </w:p>
        </w:tc>
        <w:tc>
          <w:p>
            <w:pPr>
              <w:pStyle w:val="Compact"/>
              <w:jc w:val="center"/>
            </w:pPr>
            <w:r>
              <w:t xml:space="preserve">11</w:t>
            </w:r>
          </w:p>
        </w:tc>
        <w:tc>
          <w:p>
            <w:pPr>
              <w:pStyle w:val="Compact"/>
              <w:jc w:val="center"/>
            </w:pPr>
            <w:r>
              <w:t xml:space="preserve">29 (0.395)</w:t>
            </w:r>
          </w:p>
        </w:tc>
        <w:tc>
          <w:p>
            <w:pPr>
              <w:pStyle w:val="Compact"/>
              <w:jc w:val="center"/>
            </w:pPr>
            <w:r>
              <w:t xml:space="preserve">7</w:t>
            </w:r>
          </w:p>
        </w:tc>
        <w:tc>
          <w:p>
            <w:pPr>
              <w:pStyle w:val="Compact"/>
              <w:jc w:val="center"/>
            </w:pPr>
            <w:r>
              <w:t xml:space="preserve">0.638</w:t>
            </w:r>
          </w:p>
        </w:tc>
        <w:tc>
          <w:p>
            <w:pPr>
              <w:pStyle w:val="Compact"/>
              <w:jc w:val="center"/>
            </w:pPr>
            <w:r>
              <w:t xml:space="preserve">0.117</w:t>
            </w:r>
          </w:p>
        </w:tc>
        <w:tc>
          <w:p>
            <w:pPr>
              <w:pStyle w:val="Compact"/>
              <w:jc w:val="center"/>
            </w:pPr>
            <w:r>
              <w:t xml:space="preserve">0.183</w:t>
            </w:r>
          </w:p>
        </w:tc>
      </w:tr>
      <w:tr>
        <w:tc>
          <w:p>
            <w:pPr>
              <w:pStyle w:val="Compact"/>
              <w:jc w:val="center"/>
            </w:pPr>
            <w:r>
              <w:t xml:space="preserve">SRLEM-s</w:t>
            </w:r>
          </w:p>
        </w:tc>
        <w:tc>
          <w:p>
            <w:pPr>
              <w:pStyle w:val="Compact"/>
              <w:jc w:val="center"/>
            </w:pPr>
            <w:r>
              <w:t xml:space="preserve">2017</w:t>
            </w:r>
          </w:p>
        </w:tc>
        <w:tc>
          <w:p>
            <w:pPr>
              <w:pStyle w:val="Compact"/>
              <w:jc w:val="center"/>
            </w:pPr>
            <w:r>
              <w:t xml:space="preserve">33 (0.421)</w:t>
            </w:r>
          </w:p>
        </w:tc>
        <w:tc>
          <w:p>
            <w:pPr>
              <w:pStyle w:val="Compact"/>
              <w:jc w:val="center"/>
            </w:pPr>
            <w:r>
              <w:t xml:space="preserve">5</w:t>
            </w:r>
          </w:p>
        </w:tc>
        <w:tc>
          <w:p>
            <w:pPr>
              <w:pStyle w:val="Compact"/>
              <w:jc w:val="center"/>
            </w:pPr>
            <w:r>
              <w:t xml:space="preserve">170 (0.095)</w:t>
            </w:r>
          </w:p>
        </w:tc>
        <w:tc>
          <w:p>
            <w:pPr>
              <w:pStyle w:val="Compact"/>
              <w:jc w:val="center"/>
            </w:pPr>
            <w:r>
              <w:t xml:space="preserve">34</w:t>
            </w:r>
          </w:p>
        </w:tc>
        <w:tc>
          <w:p>
            <w:pPr>
              <w:pStyle w:val="Compact"/>
              <w:jc w:val="center"/>
            </w:pPr>
            <w:r>
              <w:t xml:space="preserve">0.163</w:t>
            </w:r>
          </w:p>
        </w:tc>
        <w:tc>
          <w:p>
            <w:pPr>
              <w:pStyle w:val="Compact"/>
              <w:jc w:val="center"/>
            </w:pPr>
            <w:r>
              <w:t xml:space="preserve">0.059</w:t>
            </w:r>
          </w:p>
        </w:tc>
        <w:tc>
          <w:p>
            <w:pPr>
              <w:pStyle w:val="Compact"/>
              <w:jc w:val="center"/>
            </w:pPr>
            <w:r>
              <w:t xml:space="preserve">0.362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13 (0.592)</w:t>
            </w:r>
          </w:p>
        </w:tc>
        <w:tc>
          <w:p>
            <w:pPr>
              <w:pStyle w:val="Compact"/>
              <w:jc w:val="center"/>
            </w:pPr>
            <w:r>
              <w:t xml:space="preserve">2</w:t>
            </w:r>
          </w:p>
        </w:tc>
        <w:tc>
          <w:p>
            <w:pPr>
              <w:pStyle w:val="Compact"/>
              <w:jc w:val="center"/>
            </w:pPr>
            <w:r>
              <w:t xml:space="preserve">108 (0.105)</w:t>
            </w:r>
          </w:p>
        </w:tc>
        <w:tc>
          <w:p>
            <w:pPr>
              <w:pStyle w:val="Compact"/>
              <w:jc w:val="center"/>
            </w:pPr>
            <w:r>
              <w:t xml:space="preserve">25</w:t>
            </w:r>
          </w:p>
        </w:tc>
        <w:tc>
          <w:p>
            <w:pPr>
              <w:pStyle w:val="Compact"/>
              <w:jc w:val="center"/>
            </w:pPr>
            <w:r>
              <w:t xml:space="preserve">0.107</w:t>
            </w:r>
          </w:p>
        </w:tc>
        <w:tc>
          <w:p>
            <w:pPr>
              <w:pStyle w:val="Compact"/>
              <w:jc w:val="center"/>
            </w:pPr>
            <w:r>
              <w:t xml:space="preserve">0.058</w:t>
            </w:r>
          </w:p>
        </w:tc>
        <w:tc>
          <w:p>
            <w:pPr>
              <w:pStyle w:val="Compact"/>
              <w:jc w:val="center"/>
            </w:pPr>
            <w:r>
              <w:t xml:space="preserve">0.537</w:t>
            </w:r>
          </w:p>
        </w:tc>
      </w:tr>
      <w:tr>
        <w:tc>
          <w:p>
            <w:pPr>
              <w:pStyle w:val="Compact"/>
              <w:jc w:val="center"/>
            </w:pPr>
            <w:r>
              <w:t xml:space="preserve">SRLEM-s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65 (0.237)</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 (0.275)</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23 (0.172)</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11 (0.343)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SRNFS-s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275 (0.718)</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93 (0.174)</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SRPAH-s</w:t>
            </w:r>
          </w:p>
        </w:tc>
        <w:tc>
          <w:p>
            <w:pPr>
              <w:pStyle w:val="Compact"/>
              <w:jc w:val="center"/>
            </w:pPr>
            <w:r>
              <w:t xml:space="preserve">2017</w:t>
            </w:r>
          </w:p>
        </w:tc>
        <w:tc>
          <w:p>
            <w:pPr>
              <w:pStyle w:val="Compact"/>
              <w:jc w:val="center"/>
            </w:pPr>
            <w:r>
              <w:t xml:space="preserve">134 (0.198)</w:t>
            </w:r>
          </w:p>
        </w:tc>
        <w:tc>
          <w:p>
            <w:pPr>
              <w:pStyle w:val="Compact"/>
              <w:jc w:val="center"/>
            </w:pPr>
            <w:r>
              <w:t xml:space="preserve">24</w:t>
            </w:r>
          </w:p>
        </w:tc>
        <w:tc>
          <w:p>
            <w:pPr>
              <w:pStyle w:val="Compact"/>
              <w:jc w:val="center"/>
            </w:pPr>
            <w:r>
              <w:t xml:space="preserve">13 (0.576)</w:t>
            </w:r>
          </w:p>
        </w:tc>
        <w:tc>
          <w:p>
            <w:pPr>
              <w:pStyle w:val="Compact"/>
              <w:jc w:val="center"/>
            </w:pPr>
            <w:r>
              <w:t xml:space="preserve">2</w:t>
            </w:r>
          </w:p>
        </w:tc>
        <w:tc>
          <w:p>
            <w:pPr>
              <w:pStyle w:val="Compact"/>
              <w:jc w:val="center"/>
            </w:pPr>
            <w:r>
              <w:t xml:space="preserve">0.912</w:t>
            </w:r>
          </w:p>
        </w:tc>
        <w:tc>
          <w:p>
            <w:pPr>
              <w:pStyle w:val="Compact"/>
              <w:jc w:val="center"/>
            </w:pPr>
            <w:r>
              <w:t xml:space="preserve">0.049</w:t>
            </w:r>
          </w:p>
        </w:tc>
        <w:tc>
          <w:p>
            <w:pPr>
              <w:pStyle w:val="Compact"/>
              <w:jc w:val="center"/>
            </w:pPr>
            <w:r>
              <w:t xml:space="preserve">0.053</w:t>
            </w:r>
          </w:p>
        </w:tc>
      </w:tr>
      <w:tr>
        <w:tc>
          <w:p>
            <w:pPr>
              <w:pStyle w:val="Compact"/>
              <w:jc w:val="center"/>
            </w:pPr>
            <w:r>
              <w:t xml:space="preserve">SRPAH-s</w:t>
            </w:r>
          </w:p>
        </w:tc>
        <w:tc>
          <w:p>
            <w:pPr>
              <w:pStyle w:val="Compact"/>
              <w:jc w:val="center"/>
            </w:pPr>
            <w:r>
              <w:t xml:space="preserve">2018</w:t>
            </w:r>
          </w:p>
        </w:tc>
        <w:tc>
          <w:p>
            <w:pPr>
              <w:pStyle w:val="Compact"/>
              <w:jc w:val="center"/>
            </w:pPr>
            <w:r>
              <w:t xml:space="preserve">107 (0.199)</w:t>
            </w:r>
          </w:p>
        </w:tc>
        <w:tc>
          <w:p>
            <w:pPr>
              <w:pStyle w:val="Compact"/>
              <w:jc w:val="center"/>
            </w:pPr>
            <w:r>
              <w:t xml:space="preserve">26</w:t>
            </w:r>
          </w:p>
        </w:tc>
        <w:tc>
          <w:p>
            <w:pPr>
              <w:pStyle w:val="Compact"/>
              <w:jc w:val="center"/>
            </w:pPr>
            <w:r>
              <w:t xml:space="preserve">33 (0.353)</w:t>
            </w:r>
          </w:p>
        </w:tc>
        <w:tc>
          <w:p>
            <w:pPr>
              <w:pStyle w:val="Compact"/>
              <w:jc w:val="center"/>
            </w:pPr>
            <w:r>
              <w:t xml:space="preserve">8</w:t>
            </w:r>
          </w:p>
        </w:tc>
        <w:tc>
          <w:p>
            <w:pPr>
              <w:pStyle w:val="Compact"/>
              <w:jc w:val="center"/>
            </w:pPr>
            <w:r>
              <w:t xml:space="preserve">0.764</w:t>
            </w:r>
          </w:p>
        </w:tc>
        <w:tc>
          <w:p>
            <w:pPr>
              <w:pStyle w:val="Compact"/>
              <w:jc w:val="center"/>
            </w:pPr>
            <w:r>
              <w:t xml:space="preserve">0.074</w:t>
            </w:r>
          </w:p>
        </w:tc>
        <w:tc>
          <w:p>
            <w:pPr>
              <w:pStyle w:val="Compact"/>
              <w:jc w:val="center"/>
            </w:pPr>
            <w:r>
              <w:t xml:space="preserve">0.096</w:t>
            </w:r>
          </w:p>
        </w:tc>
      </w:tr>
      <w:tr>
        <w:tc>
          <w:p>
            <w:pPr>
              <w:pStyle w:val="Compact"/>
              <w:jc w:val="center"/>
            </w:pPr>
            <w:r>
              <w:t xml:space="preserve">SRPAH-s</w:t>
            </w:r>
          </w:p>
        </w:tc>
        <w:tc>
          <w:p>
            <w:pPr>
              <w:pStyle w:val="Compact"/>
              <w:jc w:val="center"/>
            </w:pPr>
            <w:r>
              <w:t xml:space="preserve">2019</w:t>
            </w:r>
          </w:p>
        </w:tc>
        <w:tc>
          <w:p>
            <w:pPr>
              <w:pStyle w:val="Compact"/>
              <w:jc w:val="center"/>
            </w:pPr>
            <w:r>
              <w:t xml:space="preserve">235 (0.163)</w:t>
            </w:r>
          </w:p>
        </w:tc>
        <w:tc>
          <w:p>
            <w:pPr>
              <w:pStyle w:val="Compact"/>
              <w:jc w:val="center"/>
            </w:pPr>
            <w:r>
              <w:t xml:space="preserve">53</w:t>
            </w:r>
          </w:p>
        </w:tc>
        <w:tc>
          <w:p>
            <w:pPr>
              <w:pStyle w:val="Compact"/>
              <w:jc w:val="center"/>
            </w:pPr>
            <w:r>
              <w:t xml:space="preserve">37 (0.355)</w:t>
            </w:r>
          </w:p>
        </w:tc>
        <w:tc>
          <w:p>
            <w:pPr>
              <w:pStyle w:val="Compact"/>
              <w:jc w:val="center"/>
            </w:pPr>
            <w:r>
              <w:t xml:space="preserve">9</w:t>
            </w:r>
          </w:p>
        </w:tc>
        <w:tc>
          <w:p>
            <w:pPr>
              <w:pStyle w:val="Compact"/>
              <w:jc w:val="center"/>
            </w:pPr>
            <w:r>
              <w:t xml:space="preserve">0.864</w:t>
            </w:r>
          </w:p>
        </w:tc>
        <w:tc>
          <w:p>
            <w:pPr>
              <w:pStyle w:val="Compact"/>
              <w:jc w:val="center"/>
            </w:pPr>
            <w:r>
              <w:t xml:space="preserve">0.046</w:t>
            </w:r>
          </w:p>
        </w:tc>
        <w:tc>
          <w:p>
            <w:pPr>
              <w:pStyle w:val="Compact"/>
              <w:jc w:val="center"/>
            </w:pPr>
            <w:r>
              <w:t xml:space="preserve">0.053</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181 (0.191)</w:t>
            </w:r>
          </w:p>
        </w:tc>
        <w:tc>
          <w:p>
            <w:pPr>
              <w:pStyle w:val="Compact"/>
              <w:jc w:val="center"/>
            </w:pPr>
            <w:r>
              <w:t xml:space="preserve">32</w:t>
            </w:r>
          </w:p>
        </w:tc>
        <w:tc>
          <w:p>
            <w:pPr>
              <w:pStyle w:val="Compact"/>
              <w:jc w:val="center"/>
            </w:pPr>
            <w:r>
              <w:t xml:space="preserve">75 (0.306)</w:t>
            </w:r>
          </w:p>
        </w:tc>
        <w:tc>
          <w:p>
            <w:pPr>
              <w:pStyle w:val="Compact"/>
              <w:jc w:val="center"/>
            </w:pPr>
            <w:r>
              <w:t xml:space="preserve">12</w:t>
            </w:r>
          </w:p>
        </w:tc>
        <w:tc>
          <w:p>
            <w:pPr>
              <w:pStyle w:val="Compact"/>
              <w:jc w:val="center"/>
            </w:pPr>
            <w:r>
              <w:t xml:space="preserve">0.707</w:t>
            </w:r>
          </w:p>
        </w:tc>
        <w:tc>
          <w:p>
            <w:pPr>
              <w:pStyle w:val="Compact"/>
              <w:jc w:val="center"/>
            </w:pPr>
            <w:r>
              <w:t xml:space="preserve">0.074</w:t>
            </w:r>
          </w:p>
        </w:tc>
        <w:tc>
          <w:p>
            <w:pPr>
              <w:pStyle w:val="Compact"/>
              <w:jc w:val="center"/>
            </w:pPr>
            <w:r>
              <w:t xml:space="preserve">0.105</w:t>
            </w:r>
          </w:p>
        </w:tc>
      </w:tr>
      <w:tr>
        <w:tc>
          <w:p>
            <w:pPr>
              <w:pStyle w:val="Compact"/>
              <w:jc w:val="center"/>
            </w:pPr>
            <w:r>
              <w:t xml:space="preserve">SRUMA-s</w:t>
            </w:r>
          </w:p>
        </w:tc>
        <w:tc>
          <w:p>
            <w:pPr>
              <w:pStyle w:val="Compact"/>
              <w:jc w:val="center"/>
            </w:pPr>
            <w:r>
              <w:t xml:space="preserve">2018</w:t>
            </w:r>
          </w:p>
        </w:tc>
        <w:tc>
          <w:p>
            <w:pPr>
              <w:pStyle w:val="Compact"/>
              <w:jc w:val="center"/>
            </w:pPr>
            <w:r>
              <w:t xml:space="preserve">54 (0.283)</w:t>
            </w:r>
          </w:p>
        </w:tc>
        <w:tc>
          <w:p>
            <w:pPr>
              <w:pStyle w:val="Compact"/>
              <w:jc w:val="center"/>
            </w:pPr>
            <w:r>
              <w:t xml:space="preserve">10</w:t>
            </w:r>
          </w:p>
        </w:tc>
        <w:tc>
          <w:p>
            <w:pPr>
              <w:pStyle w:val="Compact"/>
              <w:jc w:val="center"/>
            </w:pPr>
            <w:r>
              <w:t xml:space="preserve">52 (0.307)</w:t>
            </w:r>
          </w:p>
        </w:tc>
        <w:tc>
          <w:p>
            <w:pPr>
              <w:pStyle w:val="Compact"/>
              <w:jc w:val="center"/>
            </w:pPr>
            <w:r>
              <w:t xml:space="preserve">11</w:t>
            </w:r>
          </w:p>
        </w:tc>
        <w:tc>
          <w:p>
            <w:pPr>
              <w:pStyle w:val="Compact"/>
              <w:jc w:val="center"/>
            </w:pPr>
            <w:r>
              <w:t xml:space="preserve">0.509</w:t>
            </w:r>
          </w:p>
        </w:tc>
        <w:tc>
          <w:p>
            <w:pPr>
              <w:pStyle w:val="Compact"/>
              <w:jc w:val="center"/>
            </w:pPr>
            <w:r>
              <w:t xml:space="preserve">0.104</w:t>
            </w:r>
          </w:p>
        </w:tc>
        <w:tc>
          <w:p>
            <w:pPr>
              <w:pStyle w:val="Compact"/>
              <w:jc w:val="center"/>
            </w:pPr>
            <w:r>
              <w:t xml:space="preserve">0.205</w:t>
            </w:r>
          </w:p>
        </w:tc>
      </w:tr>
      <w:tr>
        <w:tc>
          <w:p>
            <w:pPr>
              <w:pStyle w:val="Compact"/>
              <w:jc w:val="center"/>
            </w:pPr>
            <w:r>
              <w:t xml:space="preserve">SRUMA-s</w:t>
            </w:r>
          </w:p>
        </w:tc>
        <w:tc>
          <w:p>
            <w:pPr>
              <w:pStyle w:val="Compact"/>
              <w:jc w:val="center"/>
            </w:pPr>
            <w:r>
              <w:t xml:space="preserve">2019</w:t>
            </w:r>
          </w:p>
        </w:tc>
        <w:tc>
          <w:p>
            <w:pPr>
              <w:pStyle w:val="Compact"/>
              <w:jc w:val="center"/>
            </w:pPr>
            <w:r>
              <w:t xml:space="preserve">26 (0.436)</w:t>
            </w:r>
          </w:p>
        </w:tc>
        <w:tc>
          <w:p>
            <w:pPr>
              <w:pStyle w:val="Compact"/>
              <w:jc w:val="center"/>
            </w:pPr>
            <w:r>
              <w:t xml:space="preserve">4</w:t>
            </w:r>
          </w:p>
        </w:tc>
        <w:tc>
          <w:p>
            <w:pPr>
              <w:pStyle w:val="Compact"/>
              <w:jc w:val="center"/>
            </w:pPr>
            <w:r>
              <w:t xml:space="preserve">41 (0.375)</w:t>
            </w:r>
          </w:p>
        </w:tc>
        <w:tc>
          <w:p>
            <w:pPr>
              <w:pStyle w:val="Compact"/>
              <w:jc w:val="center"/>
            </w:pPr>
            <w:r>
              <w:t xml:space="preserve">8</w:t>
            </w:r>
          </w:p>
        </w:tc>
        <w:tc>
          <w:p>
            <w:pPr>
              <w:pStyle w:val="Compact"/>
              <w:jc w:val="center"/>
            </w:pPr>
            <w:r>
              <w:t xml:space="preserve">0.388</w:t>
            </w:r>
          </w:p>
        </w:tc>
        <w:tc>
          <w:p>
            <w:pPr>
              <w:pStyle w:val="Compact"/>
              <w:jc w:val="center"/>
            </w:pPr>
            <w:r>
              <w:t xml:space="preserve">0.136</w:t>
            </w:r>
          </w:p>
        </w:tc>
        <w:tc>
          <w:p>
            <w:pPr>
              <w:pStyle w:val="Compact"/>
              <w:jc w:val="center"/>
            </w:pPr>
            <w:r>
              <w:t xml:space="preserve">0.351</w:t>
            </w:r>
          </w:p>
        </w:tc>
      </w:tr>
    </w:tbl>
    <w:p>
      <w:pPr>
        <w:pStyle w:val="Heading3"/>
      </w:pPr>
      <w:bookmarkStart w:id="34" w:name="section-3.-expected-precision-of-phos-by-adding-tagging-of-ad-clipped-hatchery-h-adults-at-lgr-1"/>
      <w:bookmarkEnd w:id="34"/>
      <w:r>
        <w:t xml:space="preserve">Section 3. Expected precision of</w:t>
      </w:r>
      <w:r>
        <w:t xml:space="preserve"> </w:t>
      </w:r>
      <w:r>
        <w:rPr>
          <w:i/>
        </w:rPr>
        <w:t xml:space="preserve">pHOS</w:t>
      </w:r>
      <w:r>
        <w:t xml:space="preserve"> </w:t>
      </w:r>
      <w:r>
        <w:t xml:space="preserve">by adding tagging of ad-clipped hatchery (H) adults at LGR</w:t>
      </w:r>
    </w:p>
    <w:p>
      <w:pPr>
        <w:pStyle w:val="Heading4"/>
      </w:pPr>
      <w:bookmarkStart w:id="35" w:name="mathematical-reasoning-1"/>
      <w:bookmarkEnd w:id="35"/>
      <w:r>
        <w:t xml:space="preserve">Mathematical Reasoning</w:t>
      </w:r>
    </w:p>
    <w:p>
      <w:pPr>
        <w:pStyle w:val="FirstParagraph"/>
      </w:pPr>
      <w:r>
        <w:t xml:space="preserve">The results from our mathematical exploration are shown in Figure 1. We evaluated the maximum CV for a hatchery abundance estimate that would provide a given level of precision (measured as SE) across varying levels of CV of wild escapement and</w:t>
      </w:r>
      <w:r>
        <w:t xml:space="preserve"> </w:t>
      </w:r>
      <w:r>
        <w:rPr>
          <w:i/>
        </w:rPr>
        <w:t xml:space="preserve">pHOS</w:t>
      </w:r>
      <w:r>
        <w:t xml:space="preserve">. Further, we evaluated four different CV thresholds: 2%, 5%, 10%, 25%. The same general patterns hold for all four standard error thresholds evaluated:</w:t>
      </w:r>
    </w:p>
    <w:p>
      <w:pPr>
        <w:pStyle w:val="Compact"/>
        <w:numPr>
          <w:numId w:val="1009"/>
          <w:ilvl w:val="0"/>
        </w:numPr>
      </w:pPr>
      <w:r>
        <w:t xml:space="preserve">It is easiest to meet SE threshholds when</w:t>
      </w:r>
      <w:r>
        <w:t xml:space="preserve"> </w:t>
      </w:r>
      <w:r>
        <w:rPr>
          <w:i/>
        </w:rPr>
        <w:t xml:space="preserve">pHOS</w:t>
      </w:r>
      <w:r>
        <w:t xml:space="preserve"> </w:t>
      </w:r>
      <w:r>
        <w:t xml:space="preserve">is very small or very large (i.e., high or low on the y-axis in Figure 1) in that a wide range of precision in wild and hatchery estimates will work.</w:t>
      </w:r>
    </w:p>
    <w:p>
      <w:pPr>
        <w:pStyle w:val="Compact"/>
        <w:numPr>
          <w:numId w:val="1009"/>
          <w:ilvl w:val="0"/>
        </w:numPr>
      </w:pPr>
      <w:r>
        <w:t xml:space="preserve">When</w:t>
      </w:r>
      <w:r>
        <w:t xml:space="preserve"> </w:t>
      </w:r>
      <w:r>
        <w:rPr>
          <w:i/>
        </w:rPr>
        <w:t xml:space="preserve">pHOS</w:t>
      </w:r>
      <w:r>
        <w:t xml:space="preserve"> </w:t>
      </w:r>
      <w:r>
        <w:t xml:space="preserve">is close to 50%, the number of combinations in escapement CVs that will meet each threshhold is smaller with some being difficult or impossible to meet unless the CVs of wild and hatchery escapement are both very small.</w:t>
      </w:r>
    </w:p>
    <w:p>
      <w:pPr>
        <w:pStyle w:val="FirstParagraph"/>
      </w:pPr>
      <w:r>
        <w:t xml:space="preserve">Looking at the problem another way, as the precision of wild escapement estimates improve (i.e., smaller CV, to the left of each facet in Figure 1), there are more scenarios under which the precision of the</w:t>
      </w:r>
      <w:r>
        <w:t xml:space="preserve"> </w:t>
      </w:r>
      <w:r>
        <w:rPr>
          <w:i/>
        </w:rPr>
        <w:t xml:space="preserve">pHOS</w:t>
      </w:r>
      <w:r>
        <w:t xml:space="preserve"> </w:t>
      </w:r>
      <w:r>
        <w:t xml:space="preserve">estimate is reasonable. As an example, the CVs of wild estimates for spring/summer Chinook salmon escapement to the Lemhi River range from 0.10 to 0.25 for spawn years 2010 - 2018. In that instance, even a fairly high CV in hatchery escapement can lead to a reasonably precise CV for</w:t>
      </w:r>
      <w:r>
        <w:t xml:space="preserve"> </w:t>
      </w:r>
      <w:r>
        <w:rPr>
          <w:i/>
        </w:rPr>
        <w:t xml:space="preserve">pHOS</w:t>
      </w:r>
      <w:r>
        <w:t xml:space="preserve">. Further, when</w:t>
      </w:r>
      <w:r>
        <w:t xml:space="preserve"> </w:t>
      </w:r>
      <w:r>
        <w:rPr>
          <w:i/>
        </w:rPr>
        <w:t xml:space="preserve">pHOS</w:t>
      </w:r>
      <w:r>
        <w:t xml:space="preserve"> </w:t>
      </w:r>
      <w:r>
        <w:t xml:space="preserve">is quite low or quite high (i.e., towards the bottom or top of each facet in Figure 1), then regardless of the CV of wild or hatchery escapement, a reasonable precision of</w:t>
      </w:r>
      <w:r>
        <w:t xml:space="preserve"> </w:t>
      </w:r>
      <w:r>
        <w:rPr>
          <w:i/>
        </w:rPr>
        <w:t xml:space="preserve">pHOS</w:t>
      </w:r>
      <w:r>
        <w:t xml:space="preserve"> </w:t>
      </w:r>
      <w:r>
        <w:t xml:space="preserve">can be obtained. For reference, estimates of</w:t>
      </w:r>
      <w:r>
        <w:t xml:space="preserve"> </w:t>
      </w:r>
      <w:r>
        <w:rPr>
          <w:i/>
        </w:rPr>
        <w:t xml:space="preserve">pHOS</w:t>
      </w:r>
      <w:r>
        <w:t xml:space="preserve"> </w:t>
      </w:r>
      <w:r>
        <w:t xml:space="preserve">and the CVs of the corresponding wild escapement estimates from Table 4 are shown as open red circles in Figure 1.</w:t>
      </w:r>
    </w:p>
    <w:p>
      <w:pPr>
        <w:pStyle w:val="BodyText"/>
      </w:pPr>
      <w:r>
        <w:t xml:space="preserve">It is clear that the results are sensitive to different standard error thresholds. When the threshold is quite low, such as 2%, it takes more precise estimates of wild and hatchery escapement to meet that threshold, which presumably will require more tags to be put out at Lower Granite Dam. Recall that the 95% confidence interval of</w:t>
      </w:r>
      <w:r>
        <w:t xml:space="preserve"> </w:t>
      </w:r>
      <w:r>
        <w:rPr>
          <w:i/>
        </w:rPr>
        <w:t xml:space="preserve">pHOS</w:t>
      </w:r>
      <w:r>
        <w:t xml:space="preserve"> </w:t>
      </w:r>
      <w:r>
        <w:t xml:space="preserve">would be our estimate plus or minus 1.96 times its standard error; and we could say that there is only a 5% chance that that interval excludes the true</w:t>
      </w:r>
      <w:r>
        <w:t xml:space="preserve"> </w:t>
      </w:r>
      <w:r>
        <w:rPr>
          <w:i/>
        </w:rPr>
        <w:t xml:space="preserve">pHOS</w:t>
      </w:r>
      <w:r>
        <w:t xml:space="preserve"> </w:t>
      </w:r>
      <w:r>
        <w:t xml:space="preserve">of the population.</w:t>
      </w:r>
    </w:p>
    <w:p>
      <w:pPr>
        <w:pStyle w:val="FigureWithCaption"/>
      </w:pPr>
      <w:r>
        <w:drawing>
          <wp:inline>
            <wp:extent cx="5334000" cy="5334000"/>
            <wp:effectExtent b="0" l="0" r="0" t="0"/>
            <wp:docPr descr="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 title="" id="1" name="Picture"/>
            <a:graphic>
              <a:graphicData uri="http://schemas.openxmlformats.org/drawingml/2006/picture">
                <pic:pic>
                  <pic:nvPicPr>
                    <pic:cNvPr descr="LGR_pHOS_Sim_files/figure-docx/se-phos-fig-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w:t>
      </w:r>
    </w:p>
    <w:p>
      <w:pPr>
        <w:pStyle w:val="Heading4"/>
      </w:pPr>
      <w:bookmarkStart w:id="37" w:name="simulation-1"/>
      <w:bookmarkEnd w:id="37"/>
      <w:r>
        <w:t xml:space="preserve">Simulation</w:t>
      </w:r>
    </w:p>
    <w:p>
      <w:pPr>
        <w:pStyle w:val="FirstParagraph"/>
      </w:pPr>
      <w:r>
        <w:t xml:space="preserve">We modeled the relationship between the number of wild tags detected within a population and the CV of the wild abundance estimate using a log-log model (See et al. 2019; Figure 2) based on results from DABOM from spawn years 2013 - 2019. We assumed that the same relationship holds for hatchery tags detected. For each population, we then used the average CV of the wild abundance estimates over the last several years and average estimated</w:t>
      </w:r>
      <w:r>
        <w:t xml:space="preserve"> </w:t>
      </w:r>
      <w:r>
        <w:rPr>
          <w:i/>
        </w:rPr>
        <w:t xml:space="preserve">pHOS</w:t>
      </w:r>
      <w:r>
        <w:t xml:space="preserve"> </w:t>
      </w:r>
      <w:r>
        <w:t xml:space="preserve">levels from Table 4 to determine the maximum CV of hatchery escapement such that we would meet the various thresholds for</w:t>
      </w:r>
      <w:r>
        <w:t xml:space="preserve"> </w:t>
      </w:r>
      <w:r>
        <w:rPr>
          <w:i/>
        </w:rPr>
        <w:t xml:space="preserve">pHOS</w:t>
      </w:r>
      <w:r>
        <w:t xml:space="preserve"> </w:t>
      </w:r>
      <w:r>
        <w:t xml:space="preserve">standard error. Based on the model shown in Figure 2, we could then estimate how many tags would need to be detected to obtain that CV. From there, we divided that tag number by the weighted average of detected stray rates from Table 5 to estimate how many total tags would need to be deployed at Lower Granite to obtain that number of detections. Those results are shown in Table 6.</w:t>
      </w:r>
    </w:p>
    <w:p>
      <w:pPr>
        <w:pStyle w:val="FigureWithCaption"/>
      </w:pPr>
      <w:r>
        <w:drawing>
          <wp:inline>
            <wp:extent cx="5334000" cy="5334000"/>
            <wp:effectExtent b="0" l="0" r="0" t="0"/>
            <wp:docPr descr="Figure 2: Number of PIT tags observed in a population plotted against the CV of the population estimate. The dashed line shows a CV of 15%, while the red line shows the fitted log-log model." title="" id="1" name="Picture"/>
            <a:graphic>
              <a:graphicData uri="http://schemas.openxmlformats.org/drawingml/2006/picture">
                <pic:pic>
                  <pic:nvPicPr>
                    <pic:cNvPr descr="LGR_pHOS_Sim_files/figure-docx/tags-vs-cv-fig-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Number of PIT tags observed in a population plotted against the CV of the population estimate. The dashed line shows a CV of 15%, while the red line shows the fitted log-log model.</w:t>
      </w:r>
    </w:p>
    <w:p>
      <w:pPr>
        <w:pStyle w:val="BodyText"/>
      </w:pPr>
      <w:r>
        <w:t xml:space="preserve">Table 6: All of the pieces of information that lead to an estimate of the number of tags that must be deployed at Lower Granite Dam to obtain a standard error of pHOS below a set threshold (seThres) for each population. Note that there are four rows for each population, each showing how the number of tags (LGR_tags) changes for a given seThres.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cvW</w:t>
            </w:r>
          </w:p>
        </w:tc>
        <w:tc>
          <w:tcPr>
            <w:tcBorders>
              <w:bottom w:val="single"/>
            </w:tcBorders>
            <w:vAlign w:val="bottom"/>
          </w:tcPr>
          <w:p>
            <w:pPr>
              <w:pStyle w:val="Compact"/>
              <w:jc w:val="right"/>
            </w:pPr>
            <w:r>
              <w:t xml:space="preserve">pHOS</w:t>
            </w:r>
          </w:p>
        </w:tc>
        <w:tc>
          <w:tcPr>
            <w:tcBorders>
              <w:bottom w:val="single"/>
            </w:tcBorders>
            <w:vAlign w:val="bottom"/>
          </w:tcPr>
          <w:p>
            <w:pPr>
              <w:pStyle w:val="Compact"/>
              <w:jc w:val="right"/>
            </w:pPr>
            <w:r>
              <w:t xml:space="preserve">seThres</w:t>
            </w:r>
          </w:p>
        </w:tc>
        <w:tc>
          <w:tcPr>
            <w:tcBorders>
              <w:bottom w:val="single"/>
            </w:tcBorders>
            <w:vAlign w:val="bottom"/>
          </w:tcPr>
          <w:p>
            <w:pPr>
              <w:pStyle w:val="Compact"/>
              <w:jc w:val="right"/>
            </w:pPr>
            <w:r>
              <w:t xml:space="preserve">maxHcv</w:t>
            </w:r>
          </w:p>
        </w:tc>
        <w:tc>
          <w:tcPr>
            <w:tcBorders>
              <w:bottom w:val="single"/>
            </w:tcBorders>
            <w:vAlign w:val="bottom"/>
          </w:tcPr>
          <w:p>
            <w:pPr>
              <w:pStyle w:val="Compact"/>
              <w:jc w:val="right"/>
            </w:pPr>
            <w:r>
              <w:t xml:space="preserve">n_tags</w:t>
            </w:r>
          </w:p>
        </w:tc>
        <w:tc>
          <w:tcPr>
            <w:tcBorders>
              <w:bottom w:val="single"/>
            </w:tcBorders>
            <w:vAlign w:val="bottom"/>
          </w:tcPr>
          <w:p>
            <w:pPr>
              <w:pStyle w:val="Compact"/>
              <w:jc w:val="right"/>
            </w:pPr>
            <w:r>
              <w:t xml:space="preserve">conv_rate</w:t>
            </w:r>
          </w:p>
        </w:tc>
        <w:tc>
          <w:tcPr>
            <w:tcBorders>
              <w:bottom w:val="single"/>
            </w:tcBorders>
            <w:vAlign w:val="bottom"/>
          </w:tcPr>
          <w:p>
            <w:pPr>
              <w:pStyle w:val="Compact"/>
              <w:jc w:val="right"/>
            </w:pPr>
            <w:r>
              <w:t xml:space="preserve">LGR_tags</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0.02</w:t>
            </w:r>
          </w:p>
        </w:tc>
        <w:tc>
          <w:p>
            <w:pPr>
              <w:pStyle w:val="Compact"/>
              <w:jc w:val="right"/>
            </w:pPr>
            <w:r>
              <w:t xml:space="preserve">0.27</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0.05</w:t>
            </w:r>
          </w:p>
        </w:tc>
        <w:tc>
          <w:p>
            <w:pPr>
              <w:pStyle w:val="Compact"/>
              <w:jc w:val="right"/>
            </w:pPr>
            <w:r>
              <w:t xml:space="preserve">0.80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0.05</w:t>
            </w:r>
          </w:p>
        </w:tc>
        <w:tc>
          <w:p>
            <w:pPr>
              <w:pStyle w:val="Compact"/>
              <w:jc w:val="right"/>
            </w:pPr>
            <w:r>
              <w:t xml:space="preserve">0.21</w:t>
            </w:r>
          </w:p>
        </w:tc>
        <w:tc>
          <w:p>
            <w:pPr>
              <w:pStyle w:val="Compact"/>
              <w:jc w:val="right"/>
            </w:pPr>
            <w:r>
              <w:t xml:space="preserve">12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0.10</w:t>
            </w:r>
          </w:p>
        </w:tc>
        <w:tc>
          <w:p>
            <w:pPr>
              <w:pStyle w:val="Compact"/>
              <w:jc w:val="right"/>
            </w:pPr>
            <w:r>
              <w:t xml:space="preserve">0.53</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0.05</w:t>
            </w:r>
          </w:p>
        </w:tc>
        <w:tc>
          <w:p>
            <w:pPr>
              <w:pStyle w:val="Compact"/>
              <w:jc w:val="right"/>
            </w:pPr>
            <w:r>
              <w:t xml:space="preserve">0.06</w:t>
            </w:r>
          </w:p>
        </w:tc>
        <w:tc>
          <w:p>
            <w:pPr>
              <w:pStyle w:val="Compact"/>
              <w:jc w:val="right"/>
            </w:pPr>
            <w:r>
              <w:t xml:space="preserve">215</w:t>
            </w:r>
          </w:p>
        </w:tc>
        <w:tc>
          <w:p>
            <w:pPr>
              <w:pStyle w:val="Compact"/>
              <w:jc w:val="right"/>
            </w:pPr>
            <w:r>
              <w:t xml:space="preserve">0.00029</w:t>
            </w:r>
          </w:p>
        </w:tc>
        <w:tc>
          <w:p>
            <w:pPr>
              <w:pStyle w:val="Compact"/>
              <w:jc w:val="right"/>
            </w:pPr>
            <w:r>
              <w:t xml:space="preserve">741,379</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0.10</w:t>
            </w:r>
          </w:p>
        </w:tc>
        <w:tc>
          <w:p>
            <w:pPr>
              <w:pStyle w:val="Compact"/>
              <w:jc w:val="right"/>
            </w:pPr>
            <w:r>
              <w:t xml:space="preserve">0.26</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0.25</w:t>
            </w:r>
          </w:p>
        </w:tc>
        <w:tc>
          <w:p>
            <w:pPr>
              <w:pStyle w:val="Compact"/>
              <w:jc w:val="right"/>
            </w:pPr>
            <w:r>
              <w:t xml:space="preserve">0.86</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0.05</w:t>
            </w:r>
          </w:p>
        </w:tc>
        <w:tc>
          <w:p>
            <w:pPr>
              <w:pStyle w:val="Compact"/>
              <w:jc w:val="right"/>
            </w:pPr>
            <w:r>
              <w:t xml:space="preserve">0.30</w:t>
            </w:r>
          </w:p>
        </w:tc>
        <w:tc>
          <w:p>
            <w:pPr>
              <w:pStyle w:val="Compact"/>
              <w:jc w:val="right"/>
            </w:pPr>
            <w:r>
              <w:t xml:space="preserve">5</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0.10</w:t>
            </w:r>
          </w:p>
        </w:tc>
        <w:tc>
          <w:p>
            <w:pPr>
              <w:pStyle w:val="Compact"/>
              <w:jc w:val="right"/>
            </w:pPr>
            <w:r>
              <w:t xml:space="preserve">0.77</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0.02</w:t>
            </w:r>
          </w:p>
        </w:tc>
        <w:tc>
          <w:p>
            <w:pPr>
              <w:pStyle w:val="Compact"/>
              <w:jc w:val="right"/>
            </w:pPr>
            <w:r>
              <w:t xml:space="preserve">0.10</w:t>
            </w:r>
          </w:p>
        </w:tc>
        <w:tc>
          <w:p>
            <w:pPr>
              <w:pStyle w:val="Compact"/>
              <w:jc w:val="right"/>
            </w:pPr>
            <w:r>
              <w:t xml:space="preserve">65</w:t>
            </w:r>
          </w:p>
        </w:tc>
        <w:tc>
          <w:p>
            <w:pPr>
              <w:pStyle w:val="Compact"/>
              <w:jc w:val="right"/>
            </w:pPr>
            <w:r>
              <w:t xml:space="preserve">0.00124</w:t>
            </w:r>
          </w:p>
        </w:tc>
        <w:tc>
          <w:p>
            <w:pPr>
              <w:pStyle w:val="Compact"/>
              <w:jc w:val="right"/>
            </w:pPr>
            <w:r>
              <w:t xml:space="preserve">52,419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0.05</w:t>
            </w:r>
          </w:p>
        </w:tc>
        <w:tc>
          <w:p>
            <w:pPr>
              <w:pStyle w:val="Compact"/>
              <w:jc w:val="right"/>
            </w:pPr>
            <w:r>
              <w:t xml:space="preserve">0.41</w:t>
            </w:r>
          </w:p>
        </w:tc>
        <w:tc>
          <w:p>
            <w:pPr>
              <w:pStyle w:val="Compact"/>
              <w:jc w:val="right"/>
            </w:pPr>
            <w:r>
              <w:t xml:space="preserve">3</w:t>
            </w:r>
          </w:p>
        </w:tc>
        <w:tc>
          <w:p>
            <w:pPr>
              <w:pStyle w:val="Compact"/>
              <w:jc w:val="right"/>
            </w:pPr>
            <w:r>
              <w:t xml:space="preserve">0.00124</w:t>
            </w:r>
          </w:p>
        </w:tc>
        <w:tc>
          <w:p>
            <w:pPr>
              <w:pStyle w:val="Compact"/>
              <w:jc w:val="right"/>
            </w:pPr>
            <w:r>
              <w:t xml:space="preserve">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0.10</w:t>
            </w:r>
          </w:p>
        </w:tc>
        <w:tc>
          <w:p>
            <w:pPr>
              <w:pStyle w:val="Compact"/>
              <w:jc w:val="right"/>
            </w:pPr>
            <w:r>
              <w:t xml:space="preserve">0.92</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0.02</w:t>
            </w:r>
          </w:p>
        </w:tc>
        <w:tc>
          <w:p>
            <w:pPr>
              <w:pStyle w:val="Compact"/>
              <w:jc w:val="right"/>
            </w:pPr>
            <w:r>
              <w:t xml:space="preserve">0.95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c>
          <w:p>
            <w:pPr>
              <w:pStyle w:val="Compact"/>
              <w:jc w:val="right"/>
            </w:pPr>
            <w:r>
              <w:t xml:space="preserve">150</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0.05</w:t>
            </w:r>
          </w:p>
        </w:tc>
        <w:tc>
          <w:p>
            <w:pPr>
              <w:pStyle w:val="Compact"/>
              <w:jc w:val="right"/>
            </w:pPr>
            <w:r>
              <w:t xml:space="preserve">0.34</w:t>
            </w:r>
          </w:p>
        </w:tc>
        <w:tc>
          <w:p>
            <w:pPr>
              <w:pStyle w:val="Compact"/>
              <w:jc w:val="right"/>
            </w:pPr>
            <w:r>
              <w:t xml:space="preserve">4</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0.10</w:t>
            </w:r>
          </w:p>
        </w:tc>
        <w:tc>
          <w:p>
            <w:pPr>
              <w:pStyle w:val="Compact"/>
              <w:jc w:val="right"/>
            </w:pPr>
            <w:r>
              <w:t xml:space="preserve">0.78</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0.02</w:t>
            </w:r>
          </w:p>
        </w:tc>
        <w:tc>
          <w:p>
            <w:pPr>
              <w:pStyle w:val="Compact"/>
              <w:jc w:val="right"/>
            </w:pPr>
            <w:r>
              <w:t xml:space="preserve">0.60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0.02</w:t>
            </w:r>
          </w:p>
        </w:tc>
        <w:tc>
          <w:p>
            <w:pPr>
              <w:pStyle w:val="Compact"/>
              <w:jc w:val="right"/>
            </w:pPr>
            <w:r>
              <w:t xml:space="preserve">0.24</w:t>
            </w:r>
          </w:p>
        </w:tc>
        <w:tc>
          <w:p>
            <w:pPr>
              <w:pStyle w:val="Compact"/>
              <w:jc w:val="right"/>
            </w:pPr>
            <w:r>
              <w:t xml:space="preserve">9</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0.05</w:t>
            </w:r>
          </w:p>
        </w:tc>
        <w:tc>
          <w:p>
            <w:pPr>
              <w:pStyle w:val="Compact"/>
              <w:jc w:val="right"/>
            </w:pPr>
            <w:r>
              <w:t xml:space="preserve">0.77</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0.00048</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0.05</w:t>
            </w:r>
          </w:p>
        </w:tc>
        <w:tc>
          <w:p>
            <w:pPr>
              <w:pStyle w:val="Compact"/>
              <w:jc w:val="right"/>
            </w:pPr>
            <w:r>
              <w:t xml:space="preserve">0.19</w:t>
            </w:r>
          </w:p>
        </w:tc>
        <w:tc>
          <w:p>
            <w:pPr>
              <w:pStyle w:val="Compact"/>
              <w:jc w:val="right"/>
            </w:pPr>
            <w:r>
              <w:t xml:space="preserve">15</w:t>
            </w:r>
          </w:p>
        </w:tc>
        <w:tc>
          <w:p>
            <w:pPr>
              <w:pStyle w:val="Compact"/>
              <w:jc w:val="right"/>
            </w:pPr>
            <w:r>
              <w:t xml:space="preserve">0.00048</w:t>
            </w:r>
          </w:p>
        </w:tc>
        <w:tc>
          <w:p>
            <w:pPr>
              <w:pStyle w:val="Compact"/>
              <w:jc w:val="right"/>
            </w:pPr>
            <w:r>
              <w:t xml:space="preserve">31,250</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0.10</w:t>
            </w:r>
          </w:p>
        </w:tc>
        <w:tc>
          <w:p>
            <w:pPr>
              <w:pStyle w:val="Compact"/>
              <w:jc w:val="right"/>
            </w:pPr>
            <w:r>
              <w:t xml:space="preserve">0.49</w:t>
            </w:r>
          </w:p>
        </w:tc>
        <w:tc>
          <w:p>
            <w:pPr>
              <w:pStyle w:val="Compact"/>
              <w:jc w:val="right"/>
            </w:pPr>
            <w:r>
              <w:t xml:space="preserve">2</w:t>
            </w:r>
          </w:p>
        </w:tc>
        <w:tc>
          <w:p>
            <w:pPr>
              <w:pStyle w:val="Compact"/>
              <w:jc w:val="right"/>
            </w:pPr>
            <w:r>
              <w:t xml:space="preserve">0.00048</w:t>
            </w:r>
          </w:p>
        </w:tc>
        <w:tc>
          <w:p>
            <w:pPr>
              <w:pStyle w:val="Compact"/>
              <w:jc w:val="right"/>
            </w:pPr>
            <w:r>
              <w:t xml:space="preserve">4,166</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0.25</w:t>
            </w:r>
          </w:p>
        </w:tc>
        <w:tc>
          <w:p>
            <w:pPr>
              <w:pStyle w:val="Compact"/>
              <w:jc w:val="right"/>
            </w:pPr>
            <w:r>
              <w:t xml:space="preserve">1.39</w:t>
            </w:r>
          </w:p>
        </w:tc>
        <w:tc>
          <w:p>
            <w:pPr>
              <w:pStyle w:val="Compact"/>
              <w:jc w:val="right"/>
            </w:pPr>
            <w:r>
              <w:t xml:space="preserve">1</w:t>
            </w:r>
          </w:p>
        </w:tc>
        <w:tc>
          <w:p>
            <w:pPr>
              <w:pStyle w:val="Compact"/>
              <w:jc w:val="right"/>
            </w:pPr>
            <w:r>
              <w:t xml:space="preserve">0.00048</w:t>
            </w:r>
          </w:p>
        </w:tc>
        <w:tc>
          <w:p>
            <w:pPr>
              <w:pStyle w:val="Compact"/>
              <w:jc w:val="right"/>
            </w:pPr>
            <w:r>
              <w:t xml:space="preserve">2,083</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0.02</w:t>
            </w:r>
          </w:p>
        </w:tc>
        <w:tc>
          <w:p>
            <w:pPr>
              <w:pStyle w:val="Compact"/>
              <w:jc w:val="right"/>
            </w:pPr>
            <w:r>
              <w:t xml:space="preserve">0.89</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0.02</w:t>
            </w:r>
          </w:p>
        </w:tc>
        <w:tc>
          <w:p>
            <w:pPr>
              <w:pStyle w:val="Compact"/>
              <w:jc w:val="right"/>
            </w:pPr>
            <w:r>
              <w:t xml:space="preserve">0.58</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0.05</w:t>
            </w:r>
          </w:p>
        </w:tc>
        <w:tc>
          <w:p>
            <w:pPr>
              <w:pStyle w:val="Compact"/>
              <w:jc w:val="right"/>
            </w:pPr>
            <w:r>
              <w:t xml:space="preserve">0.04</w:t>
            </w:r>
          </w:p>
        </w:tc>
        <w:tc>
          <w:p>
            <w:pPr>
              <w:pStyle w:val="Compact"/>
              <w:jc w:val="right"/>
            </w:pPr>
            <w:r>
              <w:t xml:space="preserve">554</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0.10</w:t>
            </w:r>
          </w:p>
        </w:tc>
        <w:tc>
          <w:p>
            <w:pPr>
              <w:pStyle w:val="Compact"/>
              <w:jc w:val="right"/>
            </w:pPr>
            <w:r>
              <w:t xml:space="preserve">0.51</w:t>
            </w:r>
          </w:p>
        </w:tc>
        <w:tc>
          <w:p>
            <w:pPr>
              <w:pStyle w:val="Compact"/>
              <w:jc w:val="right"/>
            </w:pPr>
            <w:r>
              <w:t xml:space="preserve">2</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0.00200</w:t>
            </w:r>
          </w:p>
        </w:tc>
        <w:tc>
          <w:p>
            <w:pPr>
              <w:pStyle w:val="Compact"/>
              <w:jc w:val="right"/>
            </w:pPr>
            <w:r>
              <w:t xml:space="preserve">21,500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0.05</w:t>
            </w:r>
          </w:p>
        </w:tc>
        <w:tc>
          <w:p>
            <w:pPr>
              <w:pStyle w:val="Compact"/>
              <w:jc w:val="right"/>
            </w:pPr>
            <w:r>
              <w:t xml:space="preserve">0.49</w:t>
            </w:r>
          </w:p>
        </w:tc>
        <w:tc>
          <w:p>
            <w:pPr>
              <w:pStyle w:val="Compact"/>
              <w:jc w:val="right"/>
            </w:pPr>
            <w:r>
              <w:t xml:space="preserve">2</w:t>
            </w:r>
          </w:p>
        </w:tc>
        <w:tc>
          <w:p>
            <w:pPr>
              <w:pStyle w:val="Compact"/>
              <w:jc w:val="right"/>
            </w:pPr>
            <w:r>
              <w:t xml:space="preserve">0.00200</w:t>
            </w:r>
          </w:p>
        </w:tc>
        <w:tc>
          <w:p>
            <w:pPr>
              <w:pStyle w:val="Compact"/>
              <w:jc w:val="right"/>
            </w:pPr>
            <w:r>
              <w:t xml:space="preserve">1,000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0.10</w:t>
            </w:r>
          </w:p>
        </w:tc>
        <w:tc>
          <w:p>
            <w:pPr>
              <w:pStyle w:val="Compact"/>
              <w:jc w:val="right"/>
            </w:pPr>
            <w:r>
              <w:t xml:space="preserve">1.10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0.05</w:t>
            </w:r>
          </w:p>
        </w:tc>
        <w:tc>
          <w:p>
            <w:pPr>
              <w:pStyle w:val="Compact"/>
              <w:jc w:val="right"/>
            </w:pPr>
            <w:r>
              <w:t xml:space="preserve">0.02</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0.10</w:t>
            </w:r>
          </w:p>
        </w:tc>
        <w:tc>
          <w:p>
            <w:pPr>
              <w:pStyle w:val="Compact"/>
              <w:jc w:val="right"/>
            </w:pPr>
            <w:r>
              <w:t xml:space="preserve">0.41</w:t>
            </w:r>
          </w:p>
        </w:tc>
        <w:tc>
          <w:p>
            <w:pPr>
              <w:pStyle w:val="Compact"/>
              <w:jc w:val="right"/>
            </w:pPr>
            <w:r>
              <w:t xml:space="preserve">3</w:t>
            </w:r>
          </w:p>
        </w:tc>
        <w:tc>
          <w:p>
            <w:pPr>
              <w:pStyle w:val="Compact"/>
              <w:jc w:val="right"/>
            </w:pPr>
            <w:r>
              <w:t xml:space="preserve">0.00086</w:t>
            </w:r>
          </w:p>
        </w:tc>
        <w:tc>
          <w:p>
            <w:pPr>
              <w:pStyle w:val="Compact"/>
              <w:jc w:val="right"/>
            </w:pPr>
            <w:r>
              <w:t xml:space="preserve">3,488</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0.00086</w:t>
            </w:r>
          </w:p>
        </w:tc>
        <w:tc>
          <w:p>
            <w:pPr>
              <w:pStyle w:val="Compact"/>
              <w:jc w:val="right"/>
            </w:pPr>
            <w:r>
              <w:t xml:space="preserve">1,162</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0.10</w:t>
            </w:r>
          </w:p>
        </w:tc>
        <w:tc>
          <w:p>
            <w:pPr>
              <w:pStyle w:val="Compact"/>
              <w:jc w:val="right"/>
            </w:pPr>
            <w:r>
              <w:t xml:space="preserve">0.14</w:t>
            </w:r>
          </w:p>
        </w:tc>
        <w:tc>
          <w:p>
            <w:pPr>
              <w:pStyle w:val="Compact"/>
              <w:jc w:val="right"/>
            </w:pPr>
            <w:r>
              <w:t xml:space="preserve">30</w:t>
            </w:r>
          </w:p>
        </w:tc>
        <w:tc>
          <w:p>
            <w:pPr>
              <w:pStyle w:val="Compact"/>
              <w:jc w:val="right"/>
            </w:pPr>
            <w:r>
              <w:t xml:space="preserve">0.00162</w:t>
            </w:r>
          </w:p>
        </w:tc>
        <w:tc>
          <w:p>
            <w:pPr>
              <w:pStyle w:val="Compact"/>
              <w:jc w:val="right"/>
            </w:pPr>
            <w:r>
              <w:t xml:space="preserve">18,518</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0.25</w:t>
            </w:r>
          </w:p>
        </w:tc>
        <w:tc>
          <w:p>
            <w:pPr>
              <w:pStyle w:val="Compact"/>
              <w:jc w:val="right"/>
            </w:pPr>
            <w:r>
              <w:t xml:space="preserve">0.74</w:t>
            </w:r>
          </w:p>
        </w:tc>
        <w:tc>
          <w:p>
            <w:pPr>
              <w:pStyle w:val="Compact"/>
              <w:jc w:val="right"/>
            </w:pPr>
            <w:r>
              <w:t xml:space="preserve">1</w:t>
            </w:r>
          </w:p>
        </w:tc>
        <w:tc>
          <w:p>
            <w:pPr>
              <w:pStyle w:val="Compact"/>
              <w:jc w:val="right"/>
            </w:pPr>
            <w:r>
              <w:t xml:space="preserve">0.00162</w:t>
            </w:r>
          </w:p>
        </w:tc>
        <w:tc>
          <w:p>
            <w:pPr>
              <w:pStyle w:val="Compact"/>
              <w:jc w:val="right"/>
            </w:pPr>
            <w:r>
              <w:t xml:space="preserve">617</w:t>
            </w:r>
          </w:p>
        </w:tc>
      </w:tr>
    </w:tbl>
    <w:p>
      <w:pPr>
        <w:pStyle w:val="BodyText"/>
      </w:pPr>
      <w:r>
        <w:t xml:space="preserve">We then examined the proportion of TRT populations that would have reliable estimates of</w:t>
      </w:r>
      <w:r>
        <w:t xml:space="preserve"> </w:t>
      </w:r>
      <w:r>
        <w:rPr>
          <w:i/>
        </w:rPr>
        <w:t xml:space="preserve">pHOS</w:t>
      </w:r>
      <w:r>
        <w:t xml:space="preserve"> </w:t>
      </w:r>
      <w:r>
        <w:t xml:space="preserve">under different tagging numbers at Lower Granite Dam. Assuming a certain number of tags were deployed at Lower Granite, we determined which population would have a standard error of</w:t>
      </w:r>
      <w:r>
        <w:t xml:space="preserve"> </w:t>
      </w:r>
      <w:r>
        <w:rPr>
          <w:i/>
        </w:rPr>
        <w:t xml:space="preserve">pHOS</w:t>
      </w:r>
      <w:r>
        <w:t xml:space="preserve"> </w:t>
      </w:r>
      <w:r>
        <w:t xml:space="preserve">below various thresholds, according to Table 6. We then transformed that into a percent of all TRT populations where we expect to estimate</w:t>
      </w:r>
      <w:r>
        <w:t xml:space="preserve"> </w:t>
      </w:r>
      <w:r>
        <w:rPr>
          <w:i/>
        </w:rPr>
        <w:t xml:space="preserve">pHOS</w:t>
      </w:r>
      <w:r>
        <w:t xml:space="preserve"> </w:t>
      </w:r>
      <w:r>
        <w:t xml:space="preserve">(EXCLUDING those with no observed strays: South Fork Salmon, Grande Ronde River, Selway, Lochsa). This included a total of 10 TRT steelhead populations. In other words, we estimated the proportion of populations that we could obtain a reliable estimate of</w:t>
      </w:r>
      <w:r>
        <w:t xml:space="preserve"> </w:t>
      </w:r>
      <w:r>
        <w:rPr>
          <w:i/>
        </w:rPr>
        <w:t xml:space="preserve">pHOS</w:t>
      </w:r>
      <w:r>
        <w:t xml:space="preserve">,</w:t>
      </w:r>
      <w:r>
        <w:t xml:space="preserve"> </w:t>
      </w:r>
      <w:r>
        <w:rPr>
          <w:b/>
        </w:rPr>
        <w:t xml:space="preserve">but only of populations for which we have previously observed or measured strays.</w:t>
      </w:r>
      <w:r>
        <w:t xml:space="preserve"> </w:t>
      </w:r>
      <w:r>
        <w:t xml:space="preserve">This included a total of 10 TRT steelhead populations evaluated. Those results are shown in Figure 3. In other words, the y-axis of Figure 3 only pertains to monitored TRT populations where we have previously observed an HNC stray. Of the 10 populations evaluated, those not shown on a given facet are off the right side of the plot (e.g., more tags need to be deployed at LGR to estimate a precise</w:t>
      </w:r>
      <w:r>
        <w:t xml:space="preserve"> </w:t>
      </w:r>
      <w:r>
        <w:rPr>
          <w:i/>
        </w:rPr>
        <w:t xml:space="preserve">pHOS</w:t>
      </w:r>
      <w:r>
        <w:t xml:space="preserve">).</w:t>
      </w:r>
    </w:p>
    <w:p>
      <w:pPr>
        <w:pStyle w:val="FigureWithCaption"/>
      </w:pPr>
      <w:r>
        <w:drawing>
          <wp:inline>
            <wp:extent cx="5334000" cy="5334000"/>
            <wp:effectExtent b="0" l="0" r="0" t="0"/>
            <wp:docPr descr="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 title="" id="1" name="Picture"/>
            <a:graphic>
              <a:graphicData uri="http://schemas.openxmlformats.org/drawingml/2006/picture">
                <pic:pic>
                  <pic:nvPicPr>
                    <pic:cNvPr descr="LGR_pHOS_Sim_files/figure-docx/lgr-pops-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w:t>
      </w:r>
    </w:p>
    <w:p>
      <w:pPr>
        <w:pStyle w:val="Heading1"/>
      </w:pPr>
      <w:bookmarkStart w:id="40" w:name="discussion"/>
      <w:bookmarkEnd w:id="40"/>
      <w:r>
        <w:t xml:space="preserve">Discussion</w:t>
      </w:r>
    </w:p>
    <w:p>
      <w:pPr>
        <w:pStyle w:val="FirstParagraph"/>
      </w:pPr>
      <w:r>
        <w:t xml:space="preserve">Based on the number of detections of hatchery fish tagged as juveniles, relying on observations at IPTDS may not provide the reliable estimate of</w:t>
      </w:r>
      <w:r>
        <w:t xml:space="preserve"> </w:t>
      </w:r>
      <w:r>
        <w:rPr>
          <w:i/>
        </w:rPr>
        <w:t xml:space="preserve">pHOS</w:t>
      </w:r>
      <w:r>
        <w:t xml:space="preserve"> </w:t>
      </w:r>
      <w:r>
        <w:t xml:space="preserve">we are striving for. First, as presented here, without uncertainty around the proportion of each release group tagged (i.e. tagging fraction), there is no way to provide uncertainty with the</w:t>
      </w:r>
      <w:r>
        <w:t xml:space="preserve"> </w:t>
      </w:r>
      <w:r>
        <w:rPr>
          <w:i/>
        </w:rPr>
        <w:t xml:space="preserve">pHOS</w:t>
      </w:r>
      <w:r>
        <w:t xml:space="preserve"> </w:t>
      </w:r>
      <w:r>
        <w:t xml:space="preserve">estimates (recognizing that estimating uncertainty in the tagging fraction is possible by various means). Second, for many of these populations,</w:t>
      </w:r>
      <w:r>
        <w:t xml:space="preserve"> </w:t>
      </w:r>
      <w:r>
        <w:rPr>
          <w:i/>
        </w:rPr>
        <w:t xml:space="preserve">pHOS</w:t>
      </w:r>
      <w:r>
        <w:t xml:space="preserve"> </w:t>
      </w:r>
      <w:r>
        <w:t xml:space="preserve">estimates are based on a handful of detections, so they are very sensitive to small changes in the number of detections. Although estimates produced in this way may be unbiased in general, for any particular population in a particular year the estimates could be very wrong, with no way to capture the uncertainty in that. Finally, as presented here, the straight expansion of observation of hatchery fish tagged as hatchery smolt released does not account for imperfect detection (i.e., detection probability &lt; 1), and although it could be accounted for, is not a trivial task within this framework.</w:t>
      </w:r>
    </w:p>
    <w:p>
      <w:pPr>
        <w:pStyle w:val="BodyText"/>
      </w:pPr>
      <w:r>
        <w:t xml:space="preserve">Estimates of</w:t>
      </w:r>
      <w:r>
        <w:t xml:space="preserve"> </w:t>
      </w:r>
      <w:r>
        <w:rPr>
          <w:i/>
        </w:rPr>
        <w:t xml:space="preserve">pHOS</w:t>
      </w:r>
      <w:r>
        <w:t xml:space="preserve"> </w:t>
      </w:r>
      <w:r>
        <w:t xml:space="preserve">based on systematic tagging at LGR and escapement of ad-intact adults, including unclipped hatchery fish and wild fish, may be more reliable, but only include the effects of unclipped hatchery fish and ignore clipped hatchery fish. For some populations, particularly supplementation populations, this may be the majority of the hatchery fish found on the spawning grounds, but that may not be the case for all populations, especially populations occurring in more remote locations. Table 4 shows that for many populations, there are very few HNC tags detected, leading to more uncertainty in the HNC abundance estimates and therefore more uncertainty in the</w:t>
      </w:r>
      <w:r>
        <w:t xml:space="preserve"> </w:t>
      </w:r>
      <w:r>
        <w:rPr>
          <w:i/>
        </w:rPr>
        <w:t xml:space="preserve">pHOS</w:t>
      </w:r>
      <w:r>
        <w:t xml:space="preserve"> </w:t>
      </w:r>
      <w:r>
        <w:t xml:space="preserve">estimates as well. This method may be appropriate for some populations, but the desired number of detections in those populations would need to be accounted for (e.g., when setting the tagging or trapping rate at Lower Granite) and it must be acknowledged that clipped hatchery fish are not accounted for in those</w:t>
      </w:r>
      <w:r>
        <w:t xml:space="preserve"> </w:t>
      </w:r>
      <w:r>
        <w:rPr>
          <w:i/>
        </w:rPr>
        <w:t xml:space="preserve">pHOS</w:t>
      </w:r>
      <w:r>
        <w:t xml:space="preserve"> </w:t>
      </w:r>
      <w:r>
        <w:t xml:space="preserve">estimates.</w:t>
      </w:r>
    </w:p>
    <w:p>
      <w:pPr>
        <w:pStyle w:val="BodyText"/>
      </w:pPr>
      <w:r>
        <w:t xml:space="preserve">Finally, tagging clipped hatchery fish at Lower Granite Dam could provide estimates of</w:t>
      </w:r>
      <w:r>
        <w:t xml:space="preserve"> </w:t>
      </w:r>
      <w:r>
        <w:rPr>
          <w:i/>
        </w:rPr>
        <w:t xml:space="preserve">pHOS</w:t>
      </w:r>
      <w:r>
        <w:t xml:space="preserve"> </w:t>
      </w:r>
      <w:r>
        <w:t xml:space="preserve">that are reasonably precise, depending on the threshold for</w:t>
      </w:r>
      <w:r>
        <w:t xml:space="preserve"> </w:t>
      </w:r>
      <w:r>
        <w:t xml:space="preserve">“</w:t>
      </w:r>
      <w:r>
        <w:t xml:space="preserve">reasonable</w:t>
      </w:r>
      <w:r>
        <w:t xml:space="preserve">”</w:t>
      </w:r>
      <w:r>
        <w:t xml:space="preserve"> </w:t>
      </w:r>
      <w:r>
        <w:t xml:space="preserve">which may vary depending on the estimate of</w:t>
      </w:r>
      <w:r>
        <w:t xml:space="preserve"> </w:t>
      </w:r>
      <w:r>
        <w:rPr>
          <w:i/>
        </w:rPr>
        <w:t xml:space="preserve">pHOS</w:t>
      </w:r>
      <w:r>
        <w:t xml:space="preserve">. For some populations with very low incoming stray rates, this method may never provide a reliable estimate of hatchery fish and</w:t>
      </w:r>
      <w:r>
        <w:t xml:space="preserve"> </w:t>
      </w:r>
      <w:r>
        <w:rPr>
          <w:i/>
        </w:rPr>
        <w:t xml:space="preserve">pHOS</w:t>
      </w:r>
      <w:r>
        <w:t xml:space="preserve"> </w:t>
      </w:r>
      <w:r>
        <w:t xml:space="preserve">because we just won’t ever have enough detections. For others, this method could work very well, even with relatively few tags being deployed at Lower Granite (see Table 6). The key for those situations would be ensuring that tags were still deployed as a random, representative sample of the entire hatchery clipped group moving past LGR. Also, determining a reasonable standard error</w:t>
      </w:r>
      <w:r>
        <w:t xml:space="preserve"> </w:t>
      </w:r>
      <w:r>
        <w:t xml:space="preserve">“</w:t>
      </w:r>
      <w:r>
        <w:t xml:space="preserve">threshold</w:t>
      </w:r>
      <w:r>
        <w:t xml:space="preserve">”</w:t>
      </w:r>
      <w:r>
        <w:t xml:space="preserve"> </w:t>
      </w:r>
      <w:r>
        <w:t xml:space="preserve">for a given level of</w:t>
      </w:r>
      <w:r>
        <w:t xml:space="preserve"> </w:t>
      </w:r>
      <w:r>
        <w:rPr>
          <w:i/>
        </w:rPr>
        <w:t xml:space="preserve">pHOS</w:t>
      </w:r>
      <w:r>
        <w:t xml:space="preserve"> </w:t>
      </w:r>
      <w:r>
        <w:t xml:space="preserve">or population is an important question that must be considered. As an example, are we interested in determining whether the</w:t>
      </w:r>
      <w:r>
        <w:t xml:space="preserve"> </w:t>
      </w:r>
      <w:r>
        <w:rPr>
          <w:i/>
        </w:rPr>
        <w:t xml:space="preserve">pHOS</w:t>
      </w:r>
      <w:r>
        <w:t xml:space="preserve"> </w:t>
      </w:r>
      <w:r>
        <w:t xml:space="preserve">in a given population is above a certain level, say</w:t>
      </w:r>
      <w:r>
        <w:t xml:space="preserve"> </w:t>
      </w:r>
      <m:oMath>
        <m:r>
          <m:t>≥</m:t>
        </m:r>
      </m:oMath>
      <w:r>
        <w:t xml:space="preserve"> </w:t>
      </w:r>
      <w:r>
        <w:t xml:space="preserve">5% or 10%, that may reduce fitness. In this case, are we okay knowing that</w:t>
      </w:r>
      <w:r>
        <w:t xml:space="preserve"> </w:t>
      </w:r>
      <w:r>
        <w:rPr>
          <w:i/>
        </w:rPr>
        <w:t xml:space="preserve">pHOS</w:t>
      </w:r>
      <w:r>
        <w:t xml:space="preserve"> </w:t>
      </w:r>
      <w:r>
        <w:t xml:space="preserve">is 5% with a confidence interval from 1-9% (SE ~ 2%), or must the SE be less than that? For populations with a larger</w:t>
      </w:r>
      <w:r>
        <w:t xml:space="preserve"> </w:t>
      </w:r>
      <w:r>
        <w:rPr>
          <w:i/>
        </w:rPr>
        <w:t xml:space="preserve">pHOS</w:t>
      </w:r>
      <w:r>
        <w:t xml:space="preserve">, say</w:t>
      </w:r>
      <w:r>
        <w:t xml:space="preserve"> </w:t>
      </w:r>
      <m:oMath>
        <m:r>
          <m:t>≥</m:t>
        </m:r>
      </m:oMath>
      <w:r>
        <w:t xml:space="preserve"> </w:t>
      </w:r>
      <w:r>
        <w:t xml:space="preserve">25%, are we okay with a more relaxed SE like 5%? These questions should be considered more carefully to determine the number of tags that would need to be deployed at LGR to determine</w:t>
      </w:r>
      <w:r>
        <w:t xml:space="preserve"> </w:t>
      </w:r>
      <w:r>
        <w:rPr>
          <w:i/>
        </w:rPr>
        <w:t xml:space="preserve">pHOS</w:t>
      </w:r>
      <w:r>
        <w:t xml:space="preserve"> </w:t>
      </w:r>
      <w:r>
        <w:t xml:space="preserve">across populations in the SRB using this method.</w:t>
      </w:r>
    </w:p>
    <w:p>
      <w:pPr>
        <w:pStyle w:val="BodyText"/>
      </w:pPr>
      <w:r>
        <w:t xml:space="preserve">It may be possible to incorporate all of this data and all of these detections into a larger, hierarchical model that borrows information about</w:t>
      </w:r>
      <w:r>
        <w:t xml:space="preserve"> </w:t>
      </w:r>
      <w:r>
        <w:rPr>
          <w:i/>
        </w:rPr>
        <w:t xml:space="preserve">pHOS</w:t>
      </w:r>
      <w:r>
        <w:t xml:space="preserve"> </w:t>
      </w:r>
      <w:r>
        <w:t xml:space="preserve">from populations with more detections (i.e. more precise estimates of wild and hatchery escapement) and spread that out amongst populations with fewer detections. Knowing that these populations are not completely independent, especially when it comes to stray rates, some form of spatial autocorrelation should probably be incorporated into such a smodel. Such a framework may work best across multiple years as well, although if the spatial autocorrelation structure changes, perhaps due to shifting release numbers from various hatcheries, this could confound such an effort.</w:t>
      </w:r>
    </w:p>
    <w:p>
      <w:pPr>
        <w:pStyle w:val="Heading3"/>
      </w:pPr>
      <w:bookmarkStart w:id="41" w:name="assumptions-and-caveats"/>
      <w:bookmarkEnd w:id="41"/>
      <w:r>
        <w:t xml:space="preserve">Assumptions and Caveats</w:t>
      </w:r>
    </w:p>
    <w:p>
      <w:pPr>
        <w:pStyle w:val="Compact"/>
        <w:numPr>
          <w:numId w:val="1010"/>
          <w:ilvl w:val="0"/>
        </w:numPr>
      </w:pPr>
      <w:r>
        <w:t xml:space="preserve">That estimates of</w:t>
      </w:r>
      <w:r>
        <w:t xml:space="preserve"> </w:t>
      </w:r>
      <w:r>
        <w:rPr>
          <w:i/>
        </w:rPr>
        <w:t xml:space="preserve">pHOS</w:t>
      </w:r>
      <w:r>
        <w:t xml:space="preserve"> </w:t>
      </w:r>
      <w:r>
        <w:t xml:space="preserve">based on observations of HNC adults at IPTDS are reasonable estimates to start with. They may be underestimating</w:t>
      </w:r>
      <w:r>
        <w:t xml:space="preserve"> </w:t>
      </w:r>
      <w:r>
        <w:rPr>
          <w:i/>
        </w:rPr>
        <w:t xml:space="preserve">pHOS</w:t>
      </w:r>
      <w:r>
        <w:t xml:space="preserve">, perhaps to a large degree in some populations, if those populations also experience large numbers of clipped hatchery fish on the spawning grounds. How likely is that? The magnitude of that affect, and which populations it may affect most, should be considered.</w:t>
      </w:r>
    </w:p>
    <w:p>
      <w:pPr>
        <w:pStyle w:val="Compact"/>
        <w:numPr>
          <w:numId w:val="1010"/>
          <w:ilvl w:val="0"/>
        </w:numPr>
      </w:pPr>
      <w:r>
        <w:t xml:space="preserve">The weighted averages of stray rates in Table 5 also incorporate harvest impacts. Will those impacts (i.e. harvest rate) remain fairly constant across years and populations?</w:t>
      </w:r>
    </w:p>
    <w:p>
      <w:pPr>
        <w:pStyle w:val="Heading1"/>
      </w:pPr>
      <w:bookmarkStart w:id="42" w:name="references"/>
      <w:bookmarkEnd w:id="42"/>
      <w:r>
        <w:t xml:space="preserve">References</w:t>
      </w:r>
    </w:p>
    <w:p>
      <w:pPr>
        <w:pStyle w:val="FirstParagraph"/>
      </w:pPr>
      <w:r>
        <w:t xml:space="preserve">See, K., M. Ackerman, and K. Meier. 2019. Tagging Rate at Lower Granite Dam. Markdown report prepared by Biomark, Inc.</w:t>
      </w:r>
    </w:p>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w:t>
      </w:r>
    </w:p>
    <w:p>
      <w:pPr>
        <w:pStyle w:val="Bibliography"/>
      </w:pPr>
      <w:r>
        <w:t xml:space="preserve">Doob, J. L. 1935. The limiting distributions of certain statistics. The Annals of Mathematical Statistics 6(3):160–169.</w:t>
      </w:r>
    </w:p>
    <w:p>
      <w:pPr>
        <w:pStyle w:val="Bibliography"/>
      </w:pPr>
      <w:r>
        <w:t xml:space="preserve">Orme, R., and R. Kinzer. 2018. Integrated in-stream pit tag detection system operations and maintenance; pit tag based adult escapement estimates for spawn years 2016 and 2017. Nez Perce Tribe.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0814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46bd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61f8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4793b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Tagging to Estimate pHOS Using IPTDS Detections</dc:title>
  <dc:creator/>
  <dcterms:created xsi:type="dcterms:W3CDTF">2020-01-30T23:42:25Z</dcterms:created>
  <dcterms:modified xsi:type="dcterms:W3CDTF">2020-01-30T23:42:25Z</dcterms:modified>
</cp:coreProperties>
</file>