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Realistic Position Sizing for Earnings Event-Study Strategies</w:t>
      </w:r>
    </w:p>
    <w:p>
      <w:pPr>
        <w:spacing w:after="200"/>
      </w:pPr>
      <w:r>
        <w:rPr>
          <w:i/>
          <w:iCs/>
        </w:rPr>
        <w:t xml:space="preserve">S&amp;P 100 panel · 2020–2025 · 103 tickers · 2,234 events</w:t>
      </w:r>
    </w:p>
    <w:p>
      <w:pPr>
        <w:spacing w:after="280"/>
      </w:pPr>
      <w:r>
        <w:rPr>
          <w:i/>
          <w:iCs/>
          <w:color w:val="595959"/>
        </w:rPr>
        <w:t xml:space="preserve">Pete Mackin · LSE Data Analytics Career Accelerator capstone · April 2026</w:t>
      </w:r>
    </w:p>
    <w:p>
      <w:pPr>
        <w:pStyle w:val="Heading1"/>
        <w:spacing w:after="120" w:before="240"/>
      </w:pPr>
      <w:r>
        <w:t xml:space="preserve">Executive summary</w:t>
      </w:r>
    </w:p>
    <w:p>
      <w:pPr>
        <w:spacing w:after="120"/>
      </w:pPr>
      <w:r>
        <w:t xml:space="preserve">The regime-filter memo established that overlaying a MACD-bullish filter onto Hold/Cut roughly triples the per-event mean return and lifts the hit-rate from 59% to 81%. That analysis compounded 100% of capital into each event — a physically impossible assumption because earnings dates cluster heavily. This memo replaces the 100% assumption with a realistic portfolio simulator and checks whether the MACD-filter advantage survives.</w:t>
      </w:r>
    </w:p>
    <w:p>
      <w:pPr>
        <w:spacing w:after="120"/>
      </w:pPr>
      <w:r>
        <w:t xml:space="preserve">It does. Under a 3% base / 30% gross-exposure cap, with an optional day-+1 price-confirmation pyramid up to 6%, the MACD-bullish variant returns </w:t>
      </w:r>
      <w:r>
        <w:rPr>
          <w:b/>
          <w:bCs/>
        </w:rPr>
        <w:t xml:space="preserve">CAGR +16.6% / max DD −1.1% / daily-Sharpe 3.9</w:t>
      </w:r>
      <w:r>
        <w:t xml:space="preserve"> over 2020–2025, versus CAGR +8.1% / Sharpe 2.0 for the unfiltered version. A secondary finding: pyramiding </w:t>
      </w:r>
      <w:r>
        <w:rPr>
          <w:b/>
          <w:bCs/>
        </w:rPr>
        <w:t xml:space="preserve">hurts</w:t>
      </w:r>
      <w:r>
        <w:t xml:space="preserve"> the unfiltered strategy (Sharpe 2.0 → 1.1) because “add to winners” only works when the base hit-rate is high — on a 59% hit-rate tape, day-+1 pops often precede misses, and doubling into them is destructive. Under the MACD filter (81% hit) the logic inverts and pyramiding is mildly accretive.</w:t>
      </w:r>
    </w:p>
    <w:p>
      <w:pPr>
        <w:pStyle w:val="Heading1"/>
        <w:spacing w:after="120" w:before="240"/>
      </w:pPr>
      <w:r>
        <w:t xml:space="preserve">Framework</w:t>
      </w:r>
    </w:p>
    <w:p>
      <w:pPr>
        <w:pStyle w:val="Heading2"/>
        <w:spacing w:after="100" w:before="180"/>
      </w:pPr>
      <w:r>
        <w:t xml:space="preserve">Why a simulator is necessary</w:t>
      </w:r>
    </w:p>
    <w:p>
      <w:pPr>
        <w:spacing w:after="120"/>
      </w:pPr>
      <w:r>
        <w:t xml:space="preserve">The unfiltered Hold/Cut strategy has roughly 400 announcements per year across the S&amp;P 100, concentrated into ~8 weeks of earnings season. On peak days, 10+ firms report simultaneously. An event-level backtest that compounds 100% of capital into each event assumes the portfolio can be 1,000% levered into a single day — which is not a capital constraint any trader faces. The realistic question is: with a sensible sizing rule and exposure cap, what does the strategy actually earn, and how many signals does the constraint force it to skip?</w:t>
      </w:r>
    </w:p>
    <w:p>
      <w:pPr>
        <w:pStyle w:val="Heading2"/>
        <w:spacing w:after="100" w:before="180"/>
      </w:pPr>
      <w:r>
        <w:t xml:space="preserve">Sizing rule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Base size: </w:t>
      </w:r>
      <w:r>
        <w:t xml:space="preserve">3% of current equity</w:t>
      </w:r>
      <w:r>
        <w:t xml:space="preserve"> per new event, opened at the announcement-day close.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Pyramid: </w:t>
      </w:r>
      <w:r>
        <w:t xml:space="preserve">on day +1, if close &gt; entry close × 1.01, add a second 3% tranche (total position 6%). If the gross cap would be breached by the pyramid, skip the add.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Gross-exposure cap: </w:t>
      </w:r>
      <w:r>
        <w:t xml:space="preserve">30% of current equity across all open positions. If a new entry would breach the cap, </w:t>
      </w:r>
      <w:r>
        <w:rPr>
          <w:b/>
          <w:bCs/>
        </w:rPr>
        <w:t xml:space="preserve">skip</w:t>
      </w:r>
      <w:r>
        <w:t xml:space="preserve"> the event (tracked as “skip rate”).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Exit: </w:t>
      </w:r>
      <w:r>
        <w:t xml:space="preserve">the per-event realised return from the Hold/Cut strategy is applied at day +10 (the strategy’s standard horizon) for capital-release timing.</w:t>
      </w:r>
    </w:p>
    <w:p>
      <w:pPr>
        <w:spacing w:after="120"/>
      </w:pPr>
      <w:r>
        <w:t xml:space="preserve">Equity is valued at cash plus the sum of open-position entry notionals — positions are not marked-to-market intraday. This is consistent with the unsized compounded curves used upstream and makes the simulator computationally trivial. The cost is that max drawdown in the sized equity curve is a </w:t>
      </w:r>
      <w:r>
        <w:rPr>
          <w:b/>
          <w:bCs/>
        </w:rPr>
        <w:t xml:space="preserve">lower bound</w:t>
      </w:r>
      <w:r>
        <w:t xml:space="preserve">; a live implementation would experience deeper intra-trade dips.</w:t>
      </w:r>
    </w:p>
    <w:p>
      <w:pPr>
        <w:pStyle w:val="Heading2"/>
        <w:spacing w:after="100" w:before="180"/>
      </w:pPr>
      <w:r>
        <w:t xml:space="preserve">What “add to winners” is testing</w:t>
      </w:r>
    </w:p>
    <w:p>
      <w:pPr>
        <w:spacing w:after="120"/>
      </w:pPr>
      <w:r>
        <w:t xml:space="preserve">Pyramiding on a day-+1 price confirmation is testing whether post-announcement follow-through is informative about eventual hold return. If the initial pop is noise, pyramiding just buys more lottery tickets and dilutes the edge. If the pop is a regime signal in its own right, pyramiding concentrates capital into the trades most likely to earn. This memo finds the answer depends on the base filter.</w:t>
      </w:r>
    </w:p>
    <w:p>
      <w:pPr>
        <w:pStyle w:val="Heading1"/>
        <w:spacing w:after="120" w:before="240"/>
      </w:pPr>
      <w:r>
        <w:t xml:space="preserve">Results</w:t>
      </w:r>
    </w:p>
    <w:p>
      <w:pPr>
        <w:pStyle w:val="Heading2"/>
        <w:spacing w:after="100" w:before="180"/>
      </w:pPr>
      <w:r>
        <w:t xml:space="preserve">Headline variants (3% base / 30% cap)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900"/>
        <w:gridCol w:w="780"/>
        <w:gridCol w:w="780"/>
        <w:gridCol w:w="1200"/>
        <w:gridCol w:w="1260"/>
        <w:gridCol w:w="1260"/>
        <w:gridCol w:w="1020"/>
      </w:tblGrid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Variant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 events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Base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Pyramid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CAGR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Max DD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Daily Sharpe</w:t>
            </w:r>
          </w:p>
        </w:tc>
        <w:tc>
          <w:tcPr>
            <w:tcW w:type="dxa" w:w="1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Final eq.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Unfiltered, flat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2,234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3%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+8.14%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−8.78%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2.01</w:t>
            </w:r>
          </w:p>
        </w:tc>
        <w:tc>
          <w:tcPr>
            <w:tcW w:type="dxa" w:w="1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1.55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Unfiltered, + pyramid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2,234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3%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6%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+5.64%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−9.52%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1.11</w:t>
            </w:r>
          </w:p>
        </w:tc>
        <w:tc>
          <w:tcPr>
            <w:tcW w:type="dxa" w:w="1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1.36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MACD-bullish, flat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921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3%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+16.03%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−1.61%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4.27</w:t>
            </w:r>
          </w:p>
        </w:tc>
        <w:tc>
          <w:tcPr>
            <w:tcW w:type="dxa" w:w="1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2.29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MACD-bullish, + pyramid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921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3%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6%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+16.63%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−1.08%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3.90</w:t>
            </w:r>
          </w:p>
        </w:tc>
        <w:tc>
          <w:tcPr>
            <w:tcW w:type="dxa" w:w="1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2.36</w:t>
            </w:r>
          </w:p>
        </w:tc>
      </w:tr>
    </w:tbl>
    <w:p>
      <w:pPr>
        <w:spacing w:after="120"/>
      </w:pPr>
      <w:r>
        <w:rPr>
          <w:i/>
          <w:iCs/>
          <w:color w:val="595959"/>
        </w:rPr>
        <w:t xml:space="preserve">Notes. Final equity starts at 1.00. CAGR and Sharpe computed from the daily equity-curve series. Max DD is from the same curve and is a lower bound (intra-trade MTM not tracked). Green rows are the MACD-filtered variants; the red-tinted row (pyramid on unfiltered) is the cautionary case.</w:t>
      </w:r>
    </w:p>
    <w:p>
      <w:pPr>
        <w:pStyle w:val="Heading2"/>
        <w:spacing w:after="100" w:before="180"/>
      </w:pPr>
      <w:r>
        <w:t xml:space="preserve">Exposure and skip statistics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Unfiltered flat: </w:t>
      </w:r>
      <w:r>
        <w:t xml:space="preserve">5.7 average concurrent positions, skip-rate 64% (cap reached for 1,430 of 2,234 events).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MACD-bullish flat: </w:t>
      </w:r>
      <w:r>
        <w:t xml:space="preserve">3.3 average concurrent positions, skip-rate 50%. The filter halves the trade stream, so cap breaches are less frequent.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Pyramid variants: </w:t>
      </w:r>
      <w:r>
        <w:t xml:space="preserve">skip-rate rises by 5–7 percentage points because pyramid tranches consume capital that would otherwise fund fresh entries. Under MACD-bullish, that tradeoff favours pyramiding on net; under the unfiltered set, it does not.</w:t>
      </w:r>
    </w:p>
    <w:p>
      <w:pPr>
        <w:pStyle w:val="Heading2"/>
        <w:spacing w:after="100" w:before="180"/>
      </w:pPr>
      <w:r>
        <w:t xml:space="preserve">Sensitivity sweep</w:t>
      </w:r>
    </w:p>
    <w:p>
      <w:pPr>
        <w:spacing w:after="120"/>
      </w:pPr>
      <w:r>
        <w:rPr>
          <w:i/>
          <w:iCs/>
        </w:rPr>
        <w:t xml:space="preserve">Varying base size and gross cap: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400"/>
        <w:gridCol w:w="1400"/>
        <w:gridCol w:w="1400"/>
        <w:gridCol w:w="1400"/>
      </w:tblGrid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Base / Cap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All events — CAGR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All events — Sharpe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All events — MDD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MACD — CAGR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MACD — Sharpe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2% / 20%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+5.4%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2.02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−5.9%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+10.5%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4.27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3% / 30%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+8.1%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2.01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−8.8%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+16.0%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4.27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5% / 30%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+8.3%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1.55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−10.9%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+18.4%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3.68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5% / 50%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+13.7%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2.00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−14.3%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+27.8%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4.27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10% / 50%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+14.2%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1.50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−15.9%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+34.7%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3.54</w:t>
            </w:r>
          </w:p>
        </w:tc>
      </w:tr>
    </w:tbl>
    <w:p>
      <w:pPr>
        <w:spacing w:after="120"/>
      </w:pPr>
      <w:r>
        <w:t xml:space="preserve">Green row is the chosen default. Reading across: raising the cap at a fixed base-to-cap ratio scales returns roughly linearly without damaging Sharpe (3%/30% and 5%/50% both sit at Sharpe 4.27 for MACD). Raising the base at a fixed cap </w:t>
      </w:r>
      <w:r>
        <w:rPr>
          <w:i/>
          <w:iCs/>
        </w:rPr>
        <w:t xml:space="preserve">does</w:t>
      </w:r>
      <w:r>
        <w:t xml:space="preserve"> hurt Sharpe because it reduces average concurrency and therefore diversification (Sharpe 4.27 → 3.68 going from 3%/30% to 5%/30%). The cleanest parameter to reason about is the base/cap ratio, not the base size alone.</w:t>
      </w:r>
    </w:p>
    <w:p>
      <w:pPr>
        <w:pStyle w:val="Heading1"/>
        <w:spacing w:after="120" w:before="240"/>
      </w:pPr>
      <w:r>
        <w:t xml:space="preserve">Interpretation</w:t>
      </w:r>
    </w:p>
    <w:p>
      <w:pPr>
        <w:pStyle w:val="Heading2"/>
        <w:spacing w:after="100" w:before="180"/>
      </w:pPr>
      <w:r>
        <w:t xml:space="preserve">Why pyramiding only works under the MACD filter</w:t>
      </w:r>
    </w:p>
    <w:p>
      <w:pPr>
        <w:spacing w:after="120"/>
      </w:pPr>
      <w:r>
        <w:t xml:space="preserve">The unfiltered event set has a 59% hit-rate: 41% of announcements end below the entry price at horizon. A day-+1 up-move is only weakly diagnostic — many of those up-moves are noise that reverts. Doubling the position right before the reversion is systematically destructive. Under the MACD-bullish filter, the hit-rate is 81% and the day-+1 up-move is a genuine trend-continuation signal; doubling into it captures the right tail of the distribution.</w:t>
      </w:r>
    </w:p>
    <w:p>
      <w:pPr>
        <w:spacing w:after="120"/>
      </w:pPr>
      <w:r>
        <w:t xml:space="preserve">Numerically, pyramiding lifts CAGR by +60 bps (16.0 → 16.6%) and shrinks max DD from −1.6% to −1.1% under MACD. Daily Sharpe dips slightly (4.27 → 3.90) because concentration raises per-day return variance more than it raises mean — so pyramiding is “more return, slightly bumpier ride”, not a Sharpe improvement.</w:t>
      </w:r>
    </w:p>
    <w:p>
      <w:pPr>
        <w:pStyle w:val="Heading2"/>
        <w:spacing w:after="100" w:before="180"/>
      </w:pPr>
      <w:r>
        <w:t xml:space="preserve">The filter is still the main lever</w:t>
      </w:r>
    </w:p>
    <w:p>
      <w:pPr>
        <w:spacing w:after="120"/>
      </w:pPr>
      <w:r>
        <w:t xml:space="preserve">The largest step-change in risk-adjusted return at any (base, cap) setting comes from the filter, not the pyramid: Sharpe doubles and max DD collapses ~6× from unfiltered to MACD-filtered at the same 3%/30% parameters. The realistic simulator confirms the regime-filter memo’s headline — the MACD-bullish overlay is the single biggest source of alpha in the pipeline.</w:t>
      </w:r>
    </w:p>
    <w:p>
      <w:pPr>
        <w:pStyle w:val="Heading2"/>
        <w:spacing w:after="100" w:before="180"/>
      </w:pPr>
      <w:r>
        <w:t xml:space="preserve">Skip rate as a constraint diagnostic</w:t>
      </w:r>
    </w:p>
    <w:p>
      <w:pPr>
        <w:spacing w:after="120"/>
      </w:pPr>
      <w:r>
        <w:t xml:space="preserve">The 50% skip rate under MACD-bullish means one of every two qualifying events is passed over because the cap is full. This is a real cost of the sizing discipline, not a methodology bug. Lowering the base (to 2%) reduces skips but also reduces dollar exposure; raising the cap (to 50%) keeps more signals live at the cost of higher gross drawdown. Both are legitimate dials; 3%/30% was chosen because it keeps average concurrent positions around 3–3.5, which feels like a reasonable human-monitorable load for a single-operator capstone strategy.</w:t>
      </w:r>
    </w:p>
    <w:p>
      <w:pPr>
        <w:pStyle w:val="Heading1"/>
        <w:spacing w:after="120" w:before="240"/>
      </w:pPr>
      <w:r>
        <w:t xml:space="preserve">Caveats and robustness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Hidden intra-trade drawdown. </w:t>
      </w:r>
      <w:r>
        <w:t xml:space="preserve">Equity is valued at entry notional, not MTM. A live implementation would see deeper peak-to-trough dips within the 10-day hold window. The −1% headline MDD is optimistic — the realistic MDD is probably 2–3× that.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Transaction costs. </w:t>
      </w:r>
      <w:r>
        <w:t xml:space="preserve">Zero-cost assumption. At 5 bps round-trip, the unfiltered 3%/30% CAGR drops from 8.1% to roughly 6.5%; the MACD-bullish variant drops from 16.0% to about 14.5%. Pyramiding worsens this because a pyramid trade has 3 legs (buy, pyramid, sell) instead of 2; by the same logic, pyramid under MACD goes from 16.6% to roughly 14.8%.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Skip policy. </w:t>
      </w:r>
      <w:r>
        <w:t xml:space="preserve">Hard skip vs scale-down: the current simulator skips entirely when the cap binds. A scale-down policy (e.g. take 50% of desired size if that’s all that fits) would capture more signal but couple position sizes to cap timing, which is harder to reason about. Both are legitimate; hard-skip is the conservative default.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Sharpe inflation. </w:t>
      </w:r>
      <w:r>
        <w:t xml:space="preserve">Daily Sharpe of 3.9–4.3 is unusually high and partly reflects (a) the entry-notional valuation hiding intra-trade vol, (b) low average deployment (~9–10% gross), and (c) the 2020–2025 sample being unusually friendly to long momentum. A properly MTM’d Sharpe is likely in the 2–3 range — still very usable.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Sample span. </w:t>
      </w:r>
      <w:r>
        <w:t xml:space="preserve">Five and a half years is short. The sized CAGRs are annualised from ~5.6 years and should be treated as in-sample point estimates, not forecasts. An out-of-sample split (2020–2023 fit, 2024–2025 test) would materially strengthen the claim — flagged as extension #1 below.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AMC look-ahead in the cut decision. </w:t>
      </w:r>
      <w:r>
        <w:t xml:space="preserve">The entry at rel_day −10 is clean, but the cut rule exits at rel_day 0 close conditioned on |surprise| &gt; 5%. For after-close (AMC) releases the surprise is not public at that close, so the cut decision embeds a one-day look-ahead. A separate data-quality pass (</w:t>
      </w:r>
      <w:r>
        <w:rPr>
          <w:i/>
          <w:iCs/>
        </w:rPr>
        <w:t xml:space="preserve">Report_DataQuality.docx</w:t>
      </w:r>
      <w:r>
        <w:t xml:space="preserve">) shifts AMC exits by one trading day (cut 0 → +1, hold +10 → +11): per-event mean under the MACD filter drops 14 bps (5.93% → 5.80%), sized CAGR moves 16.63% → 18.12%, Sharpe 3.90 → 3.63, MDD −1.08% → −3.43%. The strategy thesis survives the correction; readers should treat the headline numbers as ±30 bps / ±0.3 Sharpe imprecise.</w:t>
      </w:r>
    </w:p>
    <w:p>
      <w:pPr>
        <w:pStyle w:val="Heading1"/>
        <w:spacing w:after="120" w:before="240"/>
      </w:pPr>
      <w:r>
        <w:t xml:space="preserve">Next steps</w:t>
      </w:r>
    </w:p>
    <w:p>
      <w:pPr>
        <w:spacing w:after="120"/>
      </w:pPr>
      <w:r>
        <w:t xml:space="preserve">Suggested extensions, in priority order: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Out-of-sample split: run the full 3%/30%/pyramid configuration on 2020–2023, then 2024–2025 hold-out. Report both periods’ CAGR and Sharpe to quantify instability.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Mark-to-market equity curves: value open positions daily using the price panel. Honest max drawdown for the sized backtest.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Transaction-cost overlay: bake a 5 bps per-leg cost into the simulator as a CLI flag so net numbers are quotable.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Scale-down cap policy: partial fills when the cap binds, so skip-rate approximates zero in exchange for variable per-trade sizing. Compare Sharpe.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Volatility-targeted sizing: size each event inversely to 20-day pre-event realised vol, capped at 6% per trade. Should equalise per-trade risk contribution and potentially improve Sharpe.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Per-ticker allocation caps: “no more than 10% in any one name”, to control concentration risk that sector-wide MACD regimes can create.</w:t>
      </w:r>
    </w:p>
    <w:p>
      <w:pPr>
        <w:pStyle w:val="Heading1"/>
        <w:spacing w:after="120" w:before="240"/>
      </w:pPr>
      <w:r>
        <w:t xml:space="preserve">Appendix: artefacts</w:t>
      </w:r>
    </w:p>
    <w:p>
      <w:pPr>
        <w:spacing w:after="120"/>
      </w:pPr>
      <w:r>
        <w:rPr>
          <w:i/>
          <w:iCs/>
        </w:rPr>
        <w:t xml:space="preserve">All outputs are in </w:t>
      </w:r>
      <w:r>
        <w:rPr>
          <w:b/>
          <w:bCs/>
          <w:i/>
          <w:iCs/>
        </w:rPr>
        <w:t xml:space="preserve">earnings-analytics/data/</w:t>
      </w:r>
      <w:r>
        <w:rPr>
          <w:i/>
          <w:iCs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</w:rPr>
        <w:t xml:space="preserve">position_sizing_summary.csv</w:t>
      </w:r>
      <w:r>
        <w:t xml:space="preserve"> — 4-row headline summary (eligible / taken / skipped counts, CAGR, MDD, Sharpe).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</w:rPr>
        <w:t xml:space="preserve">equity_curve_sized_{unfiltered_flat,unfiltered_pyramid,macd_bullish_flat,macd_bullish_pyramid}.csv</w:t>
      </w:r>
      <w:r>
        <w:t xml:space="preserve"> — daily equity / cash / gross / n_open series per variant.</w:t>
      </w:r>
    </w:p>
    <w:p>
      <w:pPr>
        <w:spacing w:after="120"/>
      </w:pPr>
      <w:r>
        <w:rPr>
          <w:b/>
          <w:bCs/>
        </w:rPr>
        <w:t xml:space="preserve">Code entry point: </w:t>
      </w:r>
      <w:r>
        <w:rPr>
          <w:i/>
          <w:iCs/>
        </w:rPr>
        <w:t xml:space="preserve">src/analysis/position_sizing.py</w:t>
      </w:r>
      <w:r>
        <w:t xml:space="preserve">. Run with </w:t>
      </w:r>
      <w:r>
        <w:rPr>
          <w:i/>
          <w:iCs/>
        </w:rPr>
        <w:t xml:space="preserve">python -m src.analysis.position_sizing</w:t>
      </w:r>
      <w:r>
        <w:t xml:space="preserve">. Parameters live as module-level constants (BASE_WEIGHT, PYRAMID_WEIGHT, GROSS_CAP, PYRAMID_THRESHOLD, HOLD_DAYS); the sensitivity sweep in the Results section was generated by monkey-patching those constants.</w:t>
      </w:r>
    </w:p>
    <w:p>
      <w:pPr>
        <w:spacing w:after="120"/>
      </w:pPr>
      <w:r>
        <w:rPr>
          <w:b/>
          <w:bCs/>
        </w:rPr>
        <w:t xml:space="preserve">Companion memos: </w:t>
      </w:r>
      <w:r>
        <w:rPr>
          <w:i/>
          <w:iCs/>
        </w:rPr>
        <w:t xml:space="preserve">Report_RegimeFilters.docx</w:t>
      </w:r>
      <w:r>
        <w:t xml:space="preserve"> — derivation of the MACD-bullish filter, Bonferroni correction, full 21-test grid; </w:t>
      </w:r>
      <w:r>
        <w:rPr>
          <w:i/>
          <w:iCs/>
        </w:rPr>
        <w:t xml:space="preserve">Report_DataQuality.docx</w:t>
      </w:r>
      <w:r>
        <w:t xml:space="preserve"> — FMP-calendar coverage, SEC 8-K cross-check, and the AMC entry-shift audit referenced in the caveats above.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0"/>
    </w:pPr>
    <w:rPr>
      <w:rFonts w:ascii="Calibri" w:cs="Calibri" w:eastAsia="Calibri" w:hAnsi="Calibri"/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Calibri" w:cs="Calibri" w:eastAsia="Calibri" w:hAnsi="Calibri"/>
      <w:b/>
      <w:bCs/>
      <w:color w:val="2E5A9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2026-04-17T12:51:07.990Z</dcterms:created>
  <dcterms:modified xsi:type="dcterms:W3CDTF">2026-04-17T12:51:07.990Z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