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4CDD6" w14:textId="77777777" w:rsidR="00B11A92" w:rsidRPr="006F73A5" w:rsidRDefault="00000000">
      <w:pPr>
        <w:spacing w:after="40"/>
        <w:jc w:val="center"/>
        <w:rPr>
          <w:sz w:val="32"/>
          <w:szCs w:val="32"/>
        </w:rPr>
      </w:pPr>
      <w:r w:rsidRPr="006F73A5">
        <w:rPr>
          <w:b/>
          <w:bCs/>
          <w:color w:val="1F3864"/>
          <w:sz w:val="52"/>
          <w:szCs w:val="52"/>
        </w:rPr>
        <w:t>Peter Mackin</w:t>
      </w:r>
    </w:p>
    <w:p w14:paraId="6374CDD7" w14:textId="19D5FB31" w:rsidR="00B11A92" w:rsidRPr="00EE75D3" w:rsidRDefault="00F16AD1">
      <w:pPr>
        <w:spacing w:after="40"/>
        <w:jc w:val="center"/>
        <w:rPr>
          <w:sz w:val="24"/>
          <w:szCs w:val="24"/>
        </w:rPr>
      </w:pPr>
      <w:r w:rsidRPr="00EE75D3">
        <w:t>West Hampstead, NW</w:t>
      </w:r>
      <w:proofErr w:type="gramStart"/>
      <w:r w:rsidRPr="00EE75D3">
        <w:t>6  •</w:t>
      </w:r>
      <w:proofErr w:type="gramEnd"/>
      <w:r w:rsidRPr="00EE75D3">
        <w:t xml:space="preserve">  </w:t>
      </w:r>
      <w:proofErr w:type="gramStart"/>
      <w:r w:rsidRPr="00EE75D3">
        <w:t>pete.mackin12@gmail.com  •</w:t>
      </w:r>
      <w:proofErr w:type="gramEnd"/>
      <w:r w:rsidRPr="00EE75D3">
        <w:t xml:space="preserve">  07970 337464</w:t>
      </w:r>
    </w:p>
    <w:p w14:paraId="6374CDD8" w14:textId="77777777" w:rsidR="00B11A92" w:rsidRPr="00EE75D3" w:rsidRDefault="00B11A92">
      <w:pPr>
        <w:spacing w:after="120"/>
        <w:jc w:val="center"/>
        <w:rPr>
          <w:sz w:val="24"/>
          <w:szCs w:val="24"/>
          <w:lang w:val="nl-NL"/>
        </w:rPr>
      </w:pPr>
      <w:hyperlink r:id="rId7" w:history="1">
        <w:r w:rsidRPr="00EE75D3">
          <w:rPr>
            <w:color w:val="1F3864"/>
            <w:u w:val="single"/>
            <w:lang w:val="nl-NL"/>
          </w:rPr>
          <w:t>linkedin.com/in/peter-m-5450aa73</w:t>
        </w:r>
      </w:hyperlink>
    </w:p>
    <w:p w14:paraId="6374CDD9" w14:textId="77777777" w:rsidR="00B11A92" w:rsidRPr="00F16AD1" w:rsidRDefault="00000000">
      <w:pPr>
        <w:pBdr>
          <w:bottom w:val="single" w:sz="8" w:space="2" w:color="1F3864"/>
        </w:pBdr>
        <w:spacing w:before="220" w:after="100"/>
        <w:rPr>
          <w:sz w:val="24"/>
          <w:szCs w:val="24"/>
        </w:rPr>
      </w:pPr>
      <w:r w:rsidRPr="00F16AD1">
        <w:rPr>
          <w:b/>
          <w:bCs/>
          <w:color w:val="1F3864"/>
          <w:sz w:val="28"/>
          <w:szCs w:val="28"/>
        </w:rPr>
        <w:t>PROFILE</w:t>
      </w:r>
    </w:p>
    <w:p w14:paraId="6374CDDA" w14:textId="4C65003F" w:rsidR="00B11A92" w:rsidRDefault="00000000">
      <w:pPr>
        <w:spacing w:after="80"/>
      </w:pPr>
      <w:r>
        <w:t>Investment professional bridging traditional portfolio management with applied data science. Seven+ years across multi-asset portfolio analysis, performance attribution and manager research (CFA Level II, CFA Performance Attribution Certificate, IMC), now combined with Python, SQL, R and machine-learning skills (LSE Data Analytics Career Accelerator, Distinction). Currently leading the build-out of an AI agent ecosystem for investment workflows. Focused on helping investment firms embed AI and analytics into research, portfolio construction, reporting and decision-making.</w:t>
      </w:r>
    </w:p>
    <w:p w14:paraId="6374CDDB" w14:textId="77777777" w:rsidR="00B11A92" w:rsidRPr="00F16AD1" w:rsidRDefault="00000000">
      <w:pPr>
        <w:pBdr>
          <w:bottom w:val="single" w:sz="8" w:space="2" w:color="1F3864"/>
        </w:pBdr>
        <w:spacing w:before="220" w:after="100"/>
        <w:rPr>
          <w:sz w:val="24"/>
          <w:szCs w:val="24"/>
        </w:rPr>
      </w:pPr>
      <w:r w:rsidRPr="00F16AD1">
        <w:rPr>
          <w:b/>
          <w:bCs/>
          <w:color w:val="1F3864"/>
          <w:sz w:val="28"/>
          <w:szCs w:val="28"/>
        </w:rPr>
        <w:t>CORE COMPETENCIES</w:t>
      </w:r>
    </w:p>
    <w:p w14:paraId="017F2E03" w14:textId="5D8EFAE1" w:rsidR="00121B14" w:rsidRDefault="00000000" w:rsidP="00BE00B1">
      <w:pPr>
        <w:spacing w:after="80"/>
        <w:jc w:val="both"/>
      </w:pPr>
      <w:r>
        <w:rPr>
          <w:b/>
          <w:bCs/>
        </w:rPr>
        <w:t xml:space="preserve">Data, AI &amp; Analytics: </w:t>
      </w:r>
      <w:r>
        <w:t xml:space="preserve">Python (pandas, scikit-learn, </w:t>
      </w:r>
      <w:proofErr w:type="spellStart"/>
      <w:r>
        <w:t>statsmodels</w:t>
      </w:r>
      <w:proofErr w:type="spellEnd"/>
      <w:r>
        <w:t xml:space="preserve">, NLTK) | SQL | R | Tableau | </w:t>
      </w:r>
      <w:r w:rsidR="00121B14">
        <w:t>P</w:t>
      </w:r>
      <w:r>
        <w:t xml:space="preserve">ower BI | Machine Learning (regression, decision trees, k-means clustering) | NLP &amp; sentiment analysis | Forecasting &amp; predictive modelling | LLM agent design | Data visualisation | Relational databases </w:t>
      </w:r>
      <w:r w:rsidR="00F40AA8">
        <w:t>| Claude Code</w:t>
      </w:r>
    </w:p>
    <w:p w14:paraId="6374CDDD" w14:textId="28C7511A" w:rsidR="00B11A92" w:rsidRDefault="00000000" w:rsidP="00BE00B1">
      <w:pPr>
        <w:spacing w:after="80"/>
        <w:jc w:val="both"/>
      </w:pPr>
      <w:r>
        <w:rPr>
          <w:b/>
          <w:bCs/>
        </w:rPr>
        <w:t xml:space="preserve">Investments: </w:t>
      </w:r>
      <w:r>
        <w:t>Portfolio Management |</w:t>
      </w:r>
      <w:r w:rsidR="00121B14">
        <w:t xml:space="preserve"> P</w:t>
      </w:r>
      <w:r>
        <w:t>erformance Analysis |</w:t>
      </w:r>
      <w:r w:rsidR="00121B14">
        <w:t xml:space="preserve"> A</w:t>
      </w:r>
      <w:r>
        <w:t>ttribution | Asset Allocation | Fund &amp; Manager Selection | ESG Screening | Risk &amp; Benchmarking | GIPS Compliance | Macroeconomic Research | Multi-Asset Portfolios</w:t>
      </w:r>
    </w:p>
    <w:p w14:paraId="6374CDDE" w14:textId="513B6DB1" w:rsidR="00B11A92" w:rsidRDefault="00000000" w:rsidP="00BE00B1">
      <w:pPr>
        <w:spacing w:after="80"/>
        <w:jc w:val="both"/>
      </w:pPr>
      <w:r>
        <w:rPr>
          <w:b/>
          <w:bCs/>
        </w:rPr>
        <w:t xml:space="preserve">Professional: </w:t>
      </w:r>
      <w:r>
        <w:t xml:space="preserve">Client Reporting | Committee </w:t>
      </w:r>
      <w:r w:rsidR="00121B14">
        <w:t>Presentations |</w:t>
      </w:r>
      <w:r>
        <w:t xml:space="preserve"> Strategic Advisory | Process Automation | Stakeholder Management</w:t>
      </w:r>
      <w:r w:rsidR="00F40AA8">
        <w:t xml:space="preserve"> </w:t>
      </w:r>
    </w:p>
    <w:p w14:paraId="20F5B796" w14:textId="77777777" w:rsidR="00121B14" w:rsidRPr="00F16AD1" w:rsidRDefault="00121B14" w:rsidP="00121B14">
      <w:pPr>
        <w:pBdr>
          <w:bottom w:val="single" w:sz="8" w:space="2" w:color="1F3864"/>
        </w:pBdr>
        <w:spacing w:before="220" w:after="100"/>
        <w:rPr>
          <w:sz w:val="24"/>
          <w:szCs w:val="24"/>
        </w:rPr>
      </w:pPr>
      <w:r w:rsidRPr="00F16AD1">
        <w:rPr>
          <w:b/>
          <w:bCs/>
          <w:color w:val="1F3864"/>
          <w:sz w:val="28"/>
          <w:szCs w:val="28"/>
        </w:rPr>
        <w:t>QUALIFICATIONS &amp; CERTIFICATIONS</w:t>
      </w:r>
    </w:p>
    <w:p w14:paraId="0D90B4F6" w14:textId="77777777" w:rsidR="00121B14" w:rsidRDefault="00121B14" w:rsidP="00121B14">
      <w:pPr>
        <w:pStyle w:val="ListParagraph"/>
        <w:numPr>
          <w:ilvl w:val="0"/>
          <w:numId w:val="2"/>
        </w:numPr>
        <w:spacing w:after="60"/>
      </w:pPr>
      <w:r>
        <w:t>CFA Level I and Level II</w:t>
      </w:r>
    </w:p>
    <w:p w14:paraId="037AEF14" w14:textId="77777777" w:rsidR="00121B14" w:rsidRDefault="00121B14" w:rsidP="00121B14">
      <w:pPr>
        <w:pStyle w:val="ListParagraph"/>
        <w:numPr>
          <w:ilvl w:val="0"/>
          <w:numId w:val="2"/>
        </w:numPr>
        <w:spacing w:after="60"/>
      </w:pPr>
      <w:r>
        <w:t>CFA Performance Attribution Certificate</w:t>
      </w:r>
    </w:p>
    <w:p w14:paraId="1E327E1A" w14:textId="18ADDA08" w:rsidR="00121B14" w:rsidRDefault="00121B14" w:rsidP="00121B14">
      <w:pPr>
        <w:pStyle w:val="ListParagraph"/>
        <w:numPr>
          <w:ilvl w:val="0"/>
          <w:numId w:val="2"/>
        </w:numPr>
        <w:spacing w:after="60"/>
      </w:pPr>
      <w:r>
        <w:t xml:space="preserve">Investment Management Certificate (IMC) </w:t>
      </w:r>
    </w:p>
    <w:p w14:paraId="66F0A434" w14:textId="77777777" w:rsidR="00121B14" w:rsidRPr="00F16AD1" w:rsidRDefault="00121B14" w:rsidP="00121B14">
      <w:pPr>
        <w:pBdr>
          <w:bottom w:val="single" w:sz="8" w:space="2" w:color="1F3864"/>
        </w:pBdr>
        <w:spacing w:before="220" w:after="100"/>
        <w:rPr>
          <w:sz w:val="24"/>
          <w:szCs w:val="24"/>
        </w:rPr>
      </w:pPr>
      <w:r w:rsidRPr="00F16AD1">
        <w:rPr>
          <w:b/>
          <w:bCs/>
          <w:color w:val="1F3864"/>
          <w:sz w:val="28"/>
          <w:szCs w:val="28"/>
        </w:rPr>
        <w:t>EDUCATION</w:t>
      </w:r>
    </w:p>
    <w:p w14:paraId="38D853A1" w14:textId="77777777" w:rsidR="00121B14" w:rsidRDefault="00121B14" w:rsidP="00121B14">
      <w:pPr>
        <w:spacing w:after="80"/>
      </w:pPr>
      <w:r>
        <w:rPr>
          <w:b/>
          <w:bCs/>
        </w:rPr>
        <w:t xml:space="preserve">London School of Economics </w:t>
      </w:r>
      <w:r>
        <w:t>– Data Analytics Career Accelerator (Distinction)</w:t>
      </w:r>
    </w:p>
    <w:p w14:paraId="5E0D212D" w14:textId="77777777" w:rsidR="00121B14" w:rsidRDefault="00121B14" w:rsidP="00121B14">
      <w:pPr>
        <w:spacing w:after="80"/>
      </w:pPr>
      <w:r>
        <w:rPr>
          <w:b/>
          <w:bCs/>
        </w:rPr>
        <w:t xml:space="preserve">Loughborough University </w:t>
      </w:r>
      <w:r>
        <w:t>– BSc Economics (2:1)</w:t>
      </w:r>
    </w:p>
    <w:p w14:paraId="38BEA572" w14:textId="23C56AF8" w:rsidR="00121B14" w:rsidRDefault="00121B14" w:rsidP="00121B14">
      <w:pPr>
        <w:spacing w:after="80"/>
      </w:pPr>
      <w:r>
        <w:rPr>
          <w:b/>
          <w:bCs/>
        </w:rPr>
        <w:t xml:space="preserve">The London Oratory School </w:t>
      </w:r>
      <w:r>
        <w:t>– A-Levels: AAB | GCSEs: 2A*, 6A, 2B</w:t>
      </w:r>
    </w:p>
    <w:p w14:paraId="6374CDDF" w14:textId="77777777" w:rsidR="00B11A92" w:rsidRPr="00F16AD1" w:rsidRDefault="00000000">
      <w:pPr>
        <w:pBdr>
          <w:bottom w:val="single" w:sz="8" w:space="2" w:color="1F3864"/>
        </w:pBdr>
        <w:spacing w:before="220" w:after="100"/>
        <w:rPr>
          <w:sz w:val="24"/>
          <w:szCs w:val="24"/>
        </w:rPr>
      </w:pPr>
      <w:r w:rsidRPr="00F16AD1">
        <w:rPr>
          <w:b/>
          <w:bCs/>
          <w:color w:val="1F3864"/>
          <w:sz w:val="28"/>
          <w:szCs w:val="28"/>
        </w:rPr>
        <w:t>WORK HISTORY</w:t>
      </w:r>
    </w:p>
    <w:p w14:paraId="6374CDE0" w14:textId="5F577728" w:rsidR="00B11A92" w:rsidRDefault="00000000">
      <w:pPr>
        <w:tabs>
          <w:tab w:val="right" w:pos="9026"/>
        </w:tabs>
        <w:spacing w:before="120" w:after="40"/>
      </w:pPr>
      <w:r w:rsidRPr="00F16AD1">
        <w:rPr>
          <w:b/>
          <w:bCs/>
          <w:sz w:val="24"/>
          <w:szCs w:val="24"/>
        </w:rPr>
        <w:t>PMCL Consulting</w:t>
      </w:r>
      <w:r>
        <w:rPr>
          <w:i/>
          <w:iCs/>
        </w:rPr>
        <w:tab/>
      </w:r>
      <w:r w:rsidR="00052891">
        <w:rPr>
          <w:i/>
          <w:iCs/>
        </w:rPr>
        <w:t xml:space="preserve">   </w:t>
      </w:r>
      <w:r>
        <w:rPr>
          <w:i/>
          <w:iCs/>
        </w:rPr>
        <w:t>Feb 2025 – present</w:t>
      </w:r>
    </w:p>
    <w:p w14:paraId="6374CDE1" w14:textId="77777777" w:rsidR="00B11A92" w:rsidRDefault="00000000">
      <w:pPr>
        <w:spacing w:after="60"/>
      </w:pPr>
      <w:r>
        <w:rPr>
          <w:i/>
          <w:iCs/>
        </w:rPr>
        <w:t>Senior Investment Associate</w:t>
      </w:r>
    </w:p>
    <w:p w14:paraId="6374CDE2" w14:textId="77777777" w:rsidR="00B11A92" w:rsidRDefault="00000000">
      <w:pPr>
        <w:pStyle w:val="ListParagraph"/>
        <w:numPr>
          <w:ilvl w:val="0"/>
          <w:numId w:val="2"/>
        </w:numPr>
        <w:spacing w:after="60"/>
      </w:pPr>
      <w:r>
        <w:t>Lead portfolio analysis for charity and non-profit clients, covering performance analytics, strategic advice, asset allocation, and manager research and selection.</w:t>
      </w:r>
    </w:p>
    <w:p w14:paraId="6374CDE3" w14:textId="77777777" w:rsidR="00B11A92" w:rsidRDefault="00000000">
      <w:pPr>
        <w:pStyle w:val="ListParagraph"/>
        <w:numPr>
          <w:ilvl w:val="0"/>
          <w:numId w:val="2"/>
        </w:numPr>
        <w:spacing w:after="60"/>
      </w:pPr>
      <w:r>
        <w:t>Leading the firm’s exploration into AI: designing and building an ecosystem of LLM-powered agents to automate repetitive research, reporting and data-handling workflows, freeing analyst capacity for higher-value advisory work.</w:t>
      </w:r>
    </w:p>
    <w:p w14:paraId="6374CDE4" w14:textId="77777777" w:rsidR="00B11A92" w:rsidRDefault="00000000">
      <w:pPr>
        <w:pStyle w:val="ListParagraph"/>
        <w:numPr>
          <w:ilvl w:val="0"/>
          <w:numId w:val="2"/>
        </w:numPr>
        <w:spacing w:after="60"/>
      </w:pPr>
      <w:r>
        <w:t>Migrated internal systems to a new operating environment with no downtime, improving data integrity, lineage and reporting accuracy.</w:t>
      </w:r>
    </w:p>
    <w:p w14:paraId="6374CDE5" w14:textId="77777777" w:rsidR="00B11A92" w:rsidRDefault="00000000">
      <w:pPr>
        <w:pStyle w:val="ListParagraph"/>
        <w:numPr>
          <w:ilvl w:val="0"/>
          <w:numId w:val="2"/>
        </w:numPr>
        <w:spacing w:after="60"/>
      </w:pPr>
      <w:r>
        <w:t>Built ex-post and ex-ante forecasting models for client portfolios, quantifying the impact of asset allocation and expenditure decisions on long-term risk and return outcomes.</w:t>
      </w:r>
    </w:p>
    <w:p w14:paraId="6374CDE6" w14:textId="77777777" w:rsidR="00B11A92" w:rsidRDefault="00000000">
      <w:pPr>
        <w:pStyle w:val="ListParagraph"/>
        <w:numPr>
          <w:ilvl w:val="0"/>
          <w:numId w:val="2"/>
        </w:numPr>
        <w:spacing w:after="60"/>
      </w:pPr>
      <w:r>
        <w:t>Present quarterly investment reports to client committees and guide trustees through manager selection and portfolio transitions.</w:t>
      </w:r>
    </w:p>
    <w:p w14:paraId="6374CDE7" w14:textId="41123DCC" w:rsidR="00B11A92" w:rsidRPr="00F16AD1" w:rsidRDefault="00000000">
      <w:pPr>
        <w:tabs>
          <w:tab w:val="right" w:pos="9026"/>
        </w:tabs>
        <w:spacing w:before="120" w:after="40"/>
        <w:rPr>
          <w:lang w:val="nl-NL"/>
        </w:rPr>
      </w:pPr>
      <w:r w:rsidRPr="00F16AD1">
        <w:rPr>
          <w:b/>
          <w:bCs/>
          <w:lang w:val="nl-NL"/>
        </w:rPr>
        <w:t>TTG Spinnaker</w:t>
      </w:r>
      <w:r w:rsidRPr="00F16AD1">
        <w:rPr>
          <w:i/>
          <w:iCs/>
          <w:lang w:val="nl-NL"/>
        </w:rPr>
        <w:tab/>
        <w:t>Jan 2021 – Mar 2024</w:t>
      </w:r>
    </w:p>
    <w:p w14:paraId="6374CDE8" w14:textId="77777777" w:rsidR="00B11A92" w:rsidRPr="00F16AD1" w:rsidRDefault="00000000">
      <w:pPr>
        <w:spacing w:after="60"/>
        <w:rPr>
          <w:lang w:val="nl-NL"/>
        </w:rPr>
      </w:pPr>
      <w:r w:rsidRPr="00F16AD1">
        <w:rPr>
          <w:i/>
          <w:iCs/>
          <w:lang w:val="nl-NL"/>
        </w:rPr>
        <w:t>Trader</w:t>
      </w:r>
    </w:p>
    <w:p w14:paraId="6374CDE9" w14:textId="77777777" w:rsidR="00B11A92" w:rsidRDefault="00000000">
      <w:pPr>
        <w:pStyle w:val="ListParagraph"/>
        <w:numPr>
          <w:ilvl w:val="0"/>
          <w:numId w:val="2"/>
        </w:numPr>
        <w:spacing w:after="60"/>
      </w:pPr>
      <w:r>
        <w:t>Executed a discretionary macro / event-driven strategy across FX, equities, fixed income, commodities and crypto, combining macro research with technical setups around scheduled catalysts.</w:t>
      </w:r>
    </w:p>
    <w:p w14:paraId="6374CDEB" w14:textId="77777777" w:rsidR="00B11A92" w:rsidRDefault="00000000">
      <w:pPr>
        <w:tabs>
          <w:tab w:val="right" w:pos="9026"/>
        </w:tabs>
        <w:spacing w:before="120" w:after="40"/>
      </w:pPr>
      <w:r>
        <w:rPr>
          <w:b/>
          <w:bCs/>
        </w:rPr>
        <w:lastRenderedPageBreak/>
        <w:t>Stanhope Capital</w:t>
      </w:r>
      <w:r>
        <w:rPr>
          <w:i/>
          <w:iCs/>
        </w:rPr>
        <w:tab/>
        <w:t>Jun 2017 – Nov 2020</w:t>
      </w:r>
    </w:p>
    <w:p w14:paraId="6374CDEC" w14:textId="77777777" w:rsidR="00B11A92" w:rsidRDefault="00000000">
      <w:pPr>
        <w:spacing w:after="60"/>
      </w:pPr>
      <w:r>
        <w:rPr>
          <w:i/>
          <w:iCs/>
        </w:rPr>
        <w:t>Investment Analyst / Associate</w:t>
      </w:r>
    </w:p>
    <w:p w14:paraId="6374CDED" w14:textId="77777777" w:rsidR="00B11A92" w:rsidRDefault="00000000">
      <w:pPr>
        <w:pStyle w:val="ListParagraph"/>
        <w:numPr>
          <w:ilvl w:val="0"/>
          <w:numId w:val="2"/>
        </w:numPr>
        <w:spacing w:after="60"/>
      </w:pPr>
      <w:r>
        <w:t>Calculated, analysed and modelled performance, risk and allocation data for consolidated multi-asset portfolios and benchmarks; ran multiple attribution models to isolate drivers of excess return.</w:t>
      </w:r>
    </w:p>
    <w:p w14:paraId="6374CDEE" w14:textId="77777777" w:rsidR="00B11A92" w:rsidRDefault="00000000">
      <w:pPr>
        <w:pStyle w:val="ListParagraph"/>
        <w:numPr>
          <w:ilvl w:val="0"/>
          <w:numId w:val="2"/>
        </w:numPr>
        <w:spacing w:after="60"/>
      </w:pPr>
      <w:r>
        <w:t>Spearheaded the redesign and rebuild of the firm’s performance database, improving accuracy, scalability and the speed of monthly and quarterly reporting cycles.</w:t>
      </w:r>
    </w:p>
    <w:p w14:paraId="6374CDEF" w14:textId="77777777" w:rsidR="00B11A92" w:rsidRDefault="00000000">
      <w:pPr>
        <w:pStyle w:val="ListParagraph"/>
        <w:numPr>
          <w:ilvl w:val="0"/>
          <w:numId w:val="2"/>
        </w:numPr>
        <w:spacing w:after="60"/>
      </w:pPr>
      <w:r>
        <w:t>Delivered bespoke monthly and quarterly investment reporting and presentations to charity and non-profit clients, with detailed commentary on portfolios, underlying holdings and the macro environment.</w:t>
      </w:r>
    </w:p>
    <w:p w14:paraId="6374CDF1" w14:textId="77777777" w:rsidR="00B11A92" w:rsidRDefault="00000000">
      <w:pPr>
        <w:pStyle w:val="ListParagraph"/>
        <w:numPr>
          <w:ilvl w:val="0"/>
          <w:numId w:val="2"/>
        </w:numPr>
        <w:spacing w:after="60"/>
      </w:pPr>
      <w:r>
        <w:t>Met with fund managers to evaluate strategy, process and suitability against client objectives, risk tolerance and time horizon.</w:t>
      </w:r>
    </w:p>
    <w:p w14:paraId="6374CDF2" w14:textId="77777777" w:rsidR="00B11A92" w:rsidRDefault="00000000">
      <w:pPr>
        <w:pStyle w:val="ListParagraph"/>
        <w:numPr>
          <w:ilvl w:val="0"/>
          <w:numId w:val="2"/>
        </w:numPr>
        <w:spacing w:after="60"/>
      </w:pPr>
      <w:r>
        <w:t>Assessed investments against ESG restrictions and ensured consolidated exposures remained compliant with each client’s investment policy statement.</w:t>
      </w:r>
    </w:p>
    <w:p w14:paraId="6374CDF3" w14:textId="77777777" w:rsidR="00B11A92" w:rsidRPr="00157FB0" w:rsidRDefault="00000000">
      <w:pPr>
        <w:pBdr>
          <w:bottom w:val="single" w:sz="8" w:space="2" w:color="1F3864"/>
        </w:pBdr>
        <w:spacing w:before="220" w:after="100"/>
        <w:rPr>
          <w:sz w:val="24"/>
          <w:szCs w:val="24"/>
        </w:rPr>
      </w:pPr>
      <w:r w:rsidRPr="00157FB0">
        <w:rPr>
          <w:b/>
          <w:bCs/>
          <w:color w:val="1F3864"/>
          <w:sz w:val="28"/>
          <w:szCs w:val="28"/>
        </w:rPr>
        <w:t>APPLIED DATA &amp; ANALYTICS PROJECTS (LSE)</w:t>
      </w:r>
    </w:p>
    <w:p w14:paraId="6374CDF4" w14:textId="77777777" w:rsidR="00B11A92" w:rsidRDefault="00000000">
      <w:pPr>
        <w:spacing w:after="80"/>
      </w:pPr>
      <w:r w:rsidRPr="00661066">
        <w:rPr>
          <w:b/>
          <w:bCs/>
          <w:color w:val="0F9ED5" w:themeColor="accent4"/>
        </w:rPr>
        <w:t xml:space="preserve">Earnings &amp; Macro Predictive Signals – Capstone Project (Alpha Analytics) </w:t>
      </w:r>
      <w:r>
        <w:rPr>
          <w:i/>
          <w:iCs/>
        </w:rPr>
        <w:t>Python</w:t>
      </w:r>
    </w:p>
    <w:p w14:paraId="6374CDF5" w14:textId="77777777" w:rsidR="00B11A92" w:rsidRDefault="00000000">
      <w:pPr>
        <w:pStyle w:val="ListParagraph"/>
        <w:numPr>
          <w:ilvl w:val="0"/>
          <w:numId w:val="2"/>
        </w:numPr>
        <w:spacing w:after="60"/>
      </w:pPr>
      <w:r>
        <w:t>Designed a hedge-fund-style research project testing whether earnings events, macroeconomic factors and earnings-call language could generate predictive trading signals across 19 large-cap Nasdaq stocks (433 earnings prints, 2020–2025).</w:t>
      </w:r>
    </w:p>
    <w:p w14:paraId="6374CDF6" w14:textId="77777777" w:rsidR="00B11A92" w:rsidRDefault="00000000">
      <w:pPr>
        <w:pStyle w:val="ListParagraph"/>
        <w:numPr>
          <w:ilvl w:val="0"/>
          <w:numId w:val="2"/>
        </w:numPr>
        <w:spacing w:after="60"/>
      </w:pPr>
      <w:r>
        <w:t>Built a five-year dataset of daily OHLCV prices, quarterly EPS announcements and macro indicators (CPI, interest rates); engineered event windows and computed abnormal returns (ARs) and cumulative abnormal returns (CARs) around earnings releases.</w:t>
      </w:r>
    </w:p>
    <w:p w14:paraId="6374CDF7" w14:textId="77777777" w:rsidR="00B11A92" w:rsidRDefault="00000000">
      <w:pPr>
        <w:pStyle w:val="ListParagraph"/>
        <w:numPr>
          <w:ilvl w:val="0"/>
          <w:numId w:val="2"/>
        </w:numPr>
        <w:spacing w:after="60"/>
      </w:pPr>
      <w:r>
        <w:t>Tested four systematic strategies – post-earnings momentum, contrarian, pre-earnings run-up, and a bespoke pre-earnings hold/cut variant. Diagnosed and removed a look-ahead bias in the original run-up filter; the repaired hold/cut strategy (enter at day −10, use the post-announcement EPS surprise to decide hold vs cut) delivered the strongest results: +2.73% mean return per event, 62.2% hit-rate, t-statistic 5.44 across 429 trades.</w:t>
      </w:r>
    </w:p>
    <w:p w14:paraId="6374CDF8" w14:textId="77777777" w:rsidR="00B11A92" w:rsidRDefault="00000000">
      <w:pPr>
        <w:pStyle w:val="ListParagraph"/>
        <w:numPr>
          <w:ilvl w:val="0"/>
          <w:numId w:val="2"/>
        </w:numPr>
        <w:spacing w:after="60"/>
      </w:pPr>
      <w:r>
        <w:t>Re-packaged the notebook into a modular Python library (event-study, cleaning, strategies); concluded that headline financials are largely priced in and that forward guidance and earnings-call sentiment are stronger drivers of post-event price moves – informing recommendations for a production-grade analytics tool.</w:t>
      </w:r>
    </w:p>
    <w:p w14:paraId="6374CDF9" w14:textId="77777777" w:rsidR="00B11A92" w:rsidRDefault="00000000">
      <w:pPr>
        <w:spacing w:after="80"/>
      </w:pPr>
      <w:r w:rsidRPr="00661066">
        <w:rPr>
          <w:b/>
          <w:bCs/>
          <w:color w:val="0F9ED5" w:themeColor="accent4"/>
        </w:rPr>
        <w:t xml:space="preserve">Customer Analytics &amp; Predictive Modelling – Turtle Games (DA301) </w:t>
      </w:r>
      <w:r>
        <w:rPr>
          <w:i/>
          <w:iCs/>
        </w:rPr>
        <w:t>Python, R</w:t>
      </w:r>
    </w:p>
    <w:p w14:paraId="6374CDFA" w14:textId="77777777" w:rsidR="00B11A92" w:rsidRDefault="00000000">
      <w:pPr>
        <w:pStyle w:val="ListParagraph"/>
        <w:numPr>
          <w:ilvl w:val="0"/>
          <w:numId w:val="2"/>
        </w:numPr>
        <w:spacing w:after="60"/>
      </w:pPr>
      <w:r>
        <w:t>Analysed sales and review data for 2,000 customers to identify drivers of loyalty points, segment the customer base and inform marketing strategy.</w:t>
      </w:r>
    </w:p>
    <w:p w14:paraId="6374CDFB" w14:textId="77777777" w:rsidR="00B11A92" w:rsidRDefault="00000000">
      <w:pPr>
        <w:pStyle w:val="ListParagraph"/>
        <w:numPr>
          <w:ilvl w:val="0"/>
          <w:numId w:val="2"/>
        </w:numPr>
        <w:spacing w:after="60"/>
      </w:pPr>
      <w:r>
        <w:t>Built and compared linear, multiple linear and decision-tree regression models. The decision tree achieved 96% accuracy in predicting loyalty points based on income and spending score, materially outperforming the linear models which suffered from heteroscedasticity.</w:t>
      </w:r>
    </w:p>
    <w:p w14:paraId="6374CDFC" w14:textId="77777777" w:rsidR="00B11A92" w:rsidRDefault="00000000">
      <w:pPr>
        <w:pStyle w:val="ListParagraph"/>
        <w:numPr>
          <w:ilvl w:val="0"/>
          <w:numId w:val="2"/>
        </w:numPr>
        <w:spacing w:after="60"/>
      </w:pPr>
      <w:r>
        <w:t>Used k-means clustering with elbow and silhouette validation to identify five distinct customer segments, enabling targeted recommendations (e.g. incentive programmes for high-income / low-spend customers).</w:t>
      </w:r>
    </w:p>
    <w:p w14:paraId="6374CDFD" w14:textId="77777777" w:rsidR="00B11A92" w:rsidRDefault="00000000">
      <w:pPr>
        <w:pStyle w:val="ListParagraph"/>
        <w:numPr>
          <w:ilvl w:val="0"/>
          <w:numId w:val="2"/>
        </w:numPr>
        <w:spacing w:after="60"/>
      </w:pPr>
      <w:r>
        <w:t>Applied NLP (VADER sentiment analysis) to product reviews, generating polarity and subjectivity scores plus word clouds to surface themes and quantify review bias toward positive feedback.</w:t>
      </w:r>
    </w:p>
    <w:p w14:paraId="6374CDFE" w14:textId="77777777" w:rsidR="00B11A92" w:rsidRDefault="00000000">
      <w:pPr>
        <w:spacing w:after="80"/>
      </w:pPr>
      <w:r w:rsidRPr="00661066">
        <w:rPr>
          <w:b/>
          <w:bCs/>
          <w:color w:val="0F9ED5" w:themeColor="accent4"/>
        </w:rPr>
        <w:t xml:space="preserve">NHS Capacity &amp; Resource Utilisation Report (DA201) </w:t>
      </w:r>
      <w:r>
        <w:rPr>
          <w:i/>
          <w:iCs/>
        </w:rPr>
        <w:t>Python, Tableau</w:t>
      </w:r>
    </w:p>
    <w:p w14:paraId="6374CDFF" w14:textId="77777777" w:rsidR="00B11A92" w:rsidRDefault="00000000">
      <w:pPr>
        <w:pStyle w:val="ListParagraph"/>
        <w:numPr>
          <w:ilvl w:val="0"/>
          <w:numId w:val="2"/>
        </w:numPr>
        <w:spacing w:after="60"/>
      </w:pPr>
      <w:r>
        <w:t>Conducted exploratory analysis on NHS appointment data spanning 42 Integrated Care Boards and 106 sub-locations from 2020 to 2022, including the COVID-19 disruption period.</w:t>
      </w:r>
    </w:p>
    <w:p w14:paraId="6374CE00" w14:textId="77777777" w:rsidR="00B11A92" w:rsidRDefault="00000000">
      <w:pPr>
        <w:pStyle w:val="ListParagraph"/>
        <w:numPr>
          <w:ilvl w:val="0"/>
          <w:numId w:val="2"/>
        </w:numPr>
        <w:spacing w:after="60"/>
      </w:pPr>
      <w:r>
        <w:t>Quantified capacity strain: the NHS’s 1.2m daily appointment guideline was breached on 175 of 334 days analysed; identified seasonal peaks, regional disparities and the rapid pivot to telephone consultations during the first lockdown.</w:t>
      </w:r>
    </w:p>
    <w:p w14:paraId="6374CE01" w14:textId="77777777" w:rsidR="00B11A92" w:rsidRDefault="00000000">
      <w:pPr>
        <w:pStyle w:val="ListParagraph"/>
        <w:numPr>
          <w:ilvl w:val="0"/>
          <w:numId w:val="2"/>
        </w:numPr>
        <w:spacing w:after="60"/>
      </w:pPr>
      <w:r>
        <w:t>Built a scenario analysis modelling the impact of 3% vs 6% missed-appointment rates on daily capacity, demonstrating that reducing DNAs would push average daily volumes toward or above operational thresholds, requiring parallel workforce planning.</w:t>
      </w:r>
    </w:p>
    <w:p w14:paraId="6374CE02" w14:textId="77777777" w:rsidR="00B11A92" w:rsidRDefault="00000000">
      <w:pPr>
        <w:pStyle w:val="ListParagraph"/>
        <w:numPr>
          <w:ilvl w:val="0"/>
          <w:numId w:val="2"/>
        </w:numPr>
        <w:spacing w:after="60"/>
      </w:pPr>
      <w:r>
        <w:t>Delivered actionable recommendations on data-quality standards, regional resource allocation and capacity planning to senior NHS stakeholders.</w:t>
      </w:r>
    </w:p>
    <w:sectPr w:rsidR="00B11A92" w:rsidSect="00661066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3B247" w14:textId="77777777" w:rsidR="00A940F2" w:rsidRDefault="00A940F2" w:rsidP="00661066">
      <w:r>
        <w:separator/>
      </w:r>
    </w:p>
  </w:endnote>
  <w:endnote w:type="continuationSeparator" w:id="0">
    <w:p w14:paraId="6F75F8C0" w14:textId="77777777" w:rsidR="00A940F2" w:rsidRDefault="00A940F2" w:rsidP="006610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FD129" w14:textId="77777777" w:rsidR="00A940F2" w:rsidRDefault="00A940F2" w:rsidP="00661066">
      <w:r>
        <w:separator/>
      </w:r>
    </w:p>
  </w:footnote>
  <w:footnote w:type="continuationSeparator" w:id="0">
    <w:p w14:paraId="5B8B20E7" w14:textId="77777777" w:rsidR="00A940F2" w:rsidRDefault="00A940F2" w:rsidP="006610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96AAE"/>
    <w:multiLevelType w:val="hybridMultilevel"/>
    <w:tmpl w:val="BD8E88FE"/>
    <w:lvl w:ilvl="0" w:tplc="E7D8DF26">
      <w:start w:val="1"/>
      <w:numFmt w:val="bullet"/>
      <w:lvlText w:val="●"/>
      <w:lvlJc w:val="left"/>
      <w:pPr>
        <w:ind w:left="720" w:hanging="360"/>
      </w:pPr>
    </w:lvl>
    <w:lvl w:ilvl="1" w:tplc="4DF62DAC">
      <w:start w:val="1"/>
      <w:numFmt w:val="bullet"/>
      <w:lvlText w:val="○"/>
      <w:lvlJc w:val="left"/>
      <w:pPr>
        <w:ind w:left="1440" w:hanging="360"/>
      </w:pPr>
    </w:lvl>
    <w:lvl w:ilvl="2" w:tplc="A01E1E58">
      <w:start w:val="1"/>
      <w:numFmt w:val="bullet"/>
      <w:lvlText w:val="■"/>
      <w:lvlJc w:val="left"/>
      <w:pPr>
        <w:ind w:left="2160" w:hanging="360"/>
      </w:pPr>
    </w:lvl>
    <w:lvl w:ilvl="3" w:tplc="9FE23D7E">
      <w:start w:val="1"/>
      <w:numFmt w:val="bullet"/>
      <w:lvlText w:val="●"/>
      <w:lvlJc w:val="left"/>
      <w:pPr>
        <w:ind w:left="2880" w:hanging="360"/>
      </w:pPr>
    </w:lvl>
    <w:lvl w:ilvl="4" w:tplc="7744E958">
      <w:start w:val="1"/>
      <w:numFmt w:val="bullet"/>
      <w:lvlText w:val="○"/>
      <w:lvlJc w:val="left"/>
      <w:pPr>
        <w:ind w:left="3600" w:hanging="360"/>
      </w:pPr>
    </w:lvl>
    <w:lvl w:ilvl="5" w:tplc="6AE44438">
      <w:start w:val="1"/>
      <w:numFmt w:val="bullet"/>
      <w:lvlText w:val="■"/>
      <w:lvlJc w:val="left"/>
      <w:pPr>
        <w:ind w:left="4320" w:hanging="360"/>
      </w:pPr>
    </w:lvl>
    <w:lvl w:ilvl="6" w:tplc="72405CC4">
      <w:start w:val="1"/>
      <w:numFmt w:val="bullet"/>
      <w:lvlText w:val="●"/>
      <w:lvlJc w:val="left"/>
      <w:pPr>
        <w:ind w:left="5040" w:hanging="360"/>
      </w:pPr>
    </w:lvl>
    <w:lvl w:ilvl="7" w:tplc="33E8C8F2">
      <w:start w:val="1"/>
      <w:numFmt w:val="bullet"/>
      <w:lvlText w:val="●"/>
      <w:lvlJc w:val="left"/>
      <w:pPr>
        <w:ind w:left="5760" w:hanging="360"/>
      </w:pPr>
    </w:lvl>
    <w:lvl w:ilvl="8" w:tplc="9D3EC1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C00AF0"/>
    <w:multiLevelType w:val="hybridMultilevel"/>
    <w:tmpl w:val="AD9A6850"/>
    <w:lvl w:ilvl="0" w:tplc="5712E336">
      <w:start w:val="1"/>
      <w:numFmt w:val="bullet"/>
      <w:lvlText w:val="•"/>
      <w:lvlJc w:val="left"/>
      <w:pPr>
        <w:ind w:left="360" w:hanging="240"/>
      </w:pPr>
    </w:lvl>
    <w:lvl w:ilvl="1" w:tplc="2C98105E">
      <w:start w:val="1"/>
      <w:numFmt w:val="bullet"/>
      <w:lvlText w:val="◦"/>
      <w:lvlJc w:val="left"/>
      <w:pPr>
        <w:ind w:left="720" w:hanging="240"/>
      </w:pPr>
    </w:lvl>
    <w:lvl w:ilvl="2" w:tplc="4372DF7E">
      <w:numFmt w:val="decimal"/>
      <w:lvlText w:val=""/>
      <w:lvlJc w:val="left"/>
    </w:lvl>
    <w:lvl w:ilvl="3" w:tplc="7E6A5028">
      <w:numFmt w:val="decimal"/>
      <w:lvlText w:val=""/>
      <w:lvlJc w:val="left"/>
    </w:lvl>
    <w:lvl w:ilvl="4" w:tplc="A6A8EDDE">
      <w:numFmt w:val="decimal"/>
      <w:lvlText w:val=""/>
      <w:lvlJc w:val="left"/>
    </w:lvl>
    <w:lvl w:ilvl="5" w:tplc="1E7A7F9E">
      <w:numFmt w:val="decimal"/>
      <w:lvlText w:val=""/>
      <w:lvlJc w:val="left"/>
    </w:lvl>
    <w:lvl w:ilvl="6" w:tplc="49CC6C9A">
      <w:numFmt w:val="decimal"/>
      <w:lvlText w:val=""/>
      <w:lvlJc w:val="left"/>
    </w:lvl>
    <w:lvl w:ilvl="7" w:tplc="EA625F1C">
      <w:numFmt w:val="decimal"/>
      <w:lvlText w:val=""/>
      <w:lvlJc w:val="left"/>
    </w:lvl>
    <w:lvl w:ilvl="8" w:tplc="2C02CEF2">
      <w:numFmt w:val="decimal"/>
      <w:lvlText w:val=""/>
      <w:lvlJc w:val="left"/>
    </w:lvl>
  </w:abstractNum>
  <w:num w:numId="1" w16cid:durableId="156772575">
    <w:abstractNumId w:val="0"/>
    <w:lvlOverride w:ilvl="0">
      <w:startOverride w:val="1"/>
    </w:lvlOverride>
  </w:num>
  <w:num w:numId="2" w16cid:durableId="195491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A92"/>
    <w:rsid w:val="00052891"/>
    <w:rsid w:val="00096047"/>
    <w:rsid w:val="00112BD4"/>
    <w:rsid w:val="00121B14"/>
    <w:rsid w:val="00157FB0"/>
    <w:rsid w:val="002A7ACA"/>
    <w:rsid w:val="00661066"/>
    <w:rsid w:val="006F73A5"/>
    <w:rsid w:val="0089015C"/>
    <w:rsid w:val="008D6EEA"/>
    <w:rsid w:val="00A940F2"/>
    <w:rsid w:val="00B11A92"/>
    <w:rsid w:val="00BE00B1"/>
    <w:rsid w:val="00C843D1"/>
    <w:rsid w:val="00D02BB1"/>
    <w:rsid w:val="00D47FB6"/>
    <w:rsid w:val="00E67E5A"/>
    <w:rsid w:val="00EE75D3"/>
    <w:rsid w:val="00F0444C"/>
    <w:rsid w:val="00F16AD1"/>
    <w:rsid w:val="00F40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74CDD6"/>
  <w15:docId w15:val="{E5D8EE47-A294-4C4F-95AA-5AFCB60B5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6106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1066"/>
  </w:style>
  <w:style w:type="paragraph" w:styleId="Footer">
    <w:name w:val="footer"/>
    <w:basedOn w:val="Normal"/>
    <w:link w:val="FooterChar"/>
    <w:uiPriority w:val="99"/>
    <w:unhideWhenUsed/>
    <w:rsid w:val="0066106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10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peter-m-5450aa7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369FF7D-509F-48DD-88B7-527F67ABF3A3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61f37c6b-f805-4b8a-b0fe-83e34cdaf31b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971</TotalTime>
  <Pages>2</Pages>
  <Words>907</Words>
  <Characters>6016</Characters>
  <Application>Microsoft Office Word</Application>
  <DocSecurity>0</DocSecurity>
  <Lines>97</Lines>
  <Paragraphs>58</Paragraphs>
  <ScaleCrop>false</ScaleCrop>
  <Company/>
  <LinksUpToDate>false</LinksUpToDate>
  <CharactersWithSpaces>6865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 Mackin</dc:creator>
  <cp:lastModifiedBy>Peter Mackin</cp:lastModifiedBy>
  <cp:revision>17</cp:revision>
  <dcterms:created xsi:type="dcterms:W3CDTF">2026-04-15T09:52:00Z</dcterms:created>
  <dcterms:modified xsi:type="dcterms:W3CDTF">2026-04-23T10:46:00Z</dcterms:modified>
</cp:coreProperties>
</file>