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2E"/>
          <w:sz w:val="40"/>
        </w:rPr>
        <w:t>Peter Mackin</w:t>
      </w:r>
    </w:p>
    <w:p>
      <w:pPr>
        <w:spacing w:after="20"/>
        <w:jc w:val="center"/>
        <w:spacing w:line="220" w:lineRule="exact"/>
      </w:pPr>
      <w:r>
        <w:rPr>
          <w:rFonts w:ascii="Calibri" w:hAnsi="Calibri"/>
          <w:color w:val="444444"/>
          <w:sz w:val="17"/>
        </w:rPr>
        <w:t>West Hampstead, London  •  pete.mackin12@gmail.com  •  07970 337464</w:t>
        <w:br/>
        <w:t>linkedin.com/in/peter-m-5450aa73  •  github.com/mackman991</w:t>
      </w:r>
    </w:p>
    <w:p>
      <w:pPr>
        <w:spacing w:before="140" w:after="20"/>
        <w:spacing w:line="220" w:lineRule="exact"/>
        <w:pBdr>
          <w:bottom w:val="single" w:sz="4" w:space="3" w:color="0F3D7A"/>
        </w:pBdr>
      </w:pPr>
      <w:r>
        <w:rPr>
          <w:rFonts w:ascii="Calibri" w:hAnsi="Calibri"/>
          <w:b/>
          <w:color w:val="0F3D7A"/>
          <w:sz w:val="18"/>
        </w:rPr>
        <w:t>PROFILE</w:t>
      </w:r>
    </w:p>
    <w:p>
      <w:pPr>
        <w:spacing w:before="0" w:after="20"/>
        <w:spacing w:line="220" w:lineRule="exact"/>
      </w:pPr>
      <w:r>
        <w:rPr>
          <w:rFonts w:ascii="Calibri" w:hAnsi="Calibri"/>
          <w:b w:val="0"/>
          <w:color w:val="444444"/>
          <w:sz w:val="18"/>
        </w:rPr>
        <w:t>Investment professional combining seven years of multi-asset portfolio management, performance attribution and manager research (CFA Level II, IMC) with hands-on Python, SQL and machine-learning skills (LSE Data Analytics Career Accelerator, Distinction). Builds and deploys LLM-powered agent workflows using the Claude API to automate investment research, reporting and data pipelines; authored a quantitative earnings-signal study across 433 events and four systematic strategy variants. Seeking roles where deep investment judgement and applied AI/data engineering create measurable edge.</w:t>
      </w:r>
    </w:p>
    <w:p>
      <w:pPr>
        <w:spacing w:before="140" w:after="20"/>
        <w:spacing w:line="220" w:lineRule="exact"/>
        <w:pBdr>
          <w:bottom w:val="single" w:sz="4" w:space="3" w:color="0F3D7A"/>
        </w:pBdr>
      </w:pPr>
      <w:r>
        <w:rPr>
          <w:rFonts w:ascii="Calibri" w:hAnsi="Calibri"/>
          <w:b/>
          <w:color w:val="0F3D7A"/>
          <w:sz w:val="18"/>
        </w:rPr>
        <w:t>CORE COMPETENCIES</w:t>
      </w:r>
    </w:p>
    <w:p>
      <w:pPr>
        <w:spacing w:before="20" w:after="0"/>
        <w:spacing w:line="220" w:lineRule="exact"/>
      </w:pPr>
      <w:r>
        <w:rPr>
          <w:rFonts w:ascii="Calibri" w:hAnsi="Calibri"/>
          <w:b/>
          <w:color w:val="1A1A2E"/>
          <w:sz w:val="18"/>
        </w:rPr>
        <w:t xml:space="preserve">AI &amp; LLM Engineering:  </w:t>
      </w:r>
      <w:r>
        <w:rPr>
          <w:rFonts w:ascii="Calibri" w:hAnsi="Calibri"/>
          <w:color w:val="444444"/>
          <w:sz w:val="18"/>
        </w:rPr>
        <w:t>Claude API  |  LLM agent design &amp; orchestration  |  Agentic workflow automation  |  Prompt engineering  |  Claude Code  |  RAG  |  Financial data API integration</w:t>
      </w:r>
    </w:p>
    <w:p>
      <w:pPr>
        <w:spacing w:before="20" w:after="0"/>
        <w:spacing w:line="220" w:lineRule="exact"/>
      </w:pPr>
      <w:r>
        <w:rPr>
          <w:rFonts w:ascii="Calibri" w:hAnsi="Calibri"/>
          <w:b/>
          <w:color w:val="1A1A2E"/>
          <w:sz w:val="18"/>
        </w:rPr>
        <w:t xml:space="preserve">Data &amp; Analytics:  </w:t>
      </w:r>
      <w:r>
        <w:rPr>
          <w:rFonts w:ascii="Calibri" w:hAnsi="Calibri"/>
          <w:color w:val="444444"/>
          <w:sz w:val="18"/>
        </w:rPr>
        <w:t>Python (pandas, scikit-learn, statsmodels, NLTK)  |  SQL  |  R  |  Tableau  |  Power BI  |  ML (regression, decision trees, k-means)  |  NLP &amp; sentiment analysis  |  Predictive modelling</w:t>
      </w:r>
    </w:p>
    <w:p>
      <w:pPr>
        <w:spacing w:before="20" w:after="0"/>
        <w:spacing w:line="220" w:lineRule="exact"/>
      </w:pPr>
      <w:r>
        <w:rPr>
          <w:rFonts w:ascii="Calibri" w:hAnsi="Calibri"/>
          <w:b/>
          <w:color w:val="1A1A2E"/>
          <w:sz w:val="18"/>
        </w:rPr>
        <w:t xml:space="preserve">Investments:  </w:t>
      </w:r>
      <w:r>
        <w:rPr>
          <w:rFonts w:ascii="Calibri" w:hAnsi="Calibri"/>
          <w:color w:val="444444"/>
          <w:sz w:val="18"/>
        </w:rPr>
        <w:t>Portfolio Management  |  Performance Analysis &amp; Attribution  |  Asset Allocation  |  Fund &amp; Manager Selection  |  ESG Screening  |  Risk &amp; Benchmarking  |  GIPS  |  Macro Research  |  Discretionary Trading (FX, Equities, FI, Commodities, Crypto)</w:t>
      </w:r>
    </w:p>
    <w:p>
      <w:pPr>
        <w:spacing w:before="20" w:after="0"/>
        <w:spacing w:line="220" w:lineRule="exact"/>
      </w:pPr>
      <w:r>
        <w:rPr>
          <w:rFonts w:ascii="Calibri" w:hAnsi="Calibri"/>
          <w:b/>
          <w:color w:val="1A1A2E"/>
          <w:sz w:val="18"/>
        </w:rPr>
        <w:t xml:space="preserve">Professional:  </w:t>
      </w:r>
      <w:r>
        <w:rPr>
          <w:rFonts w:ascii="Calibri" w:hAnsi="Calibri"/>
          <w:color w:val="444444"/>
          <w:sz w:val="18"/>
        </w:rPr>
        <w:t>Client Reporting  |  Committee Presentations  |  Strategic Advisory  |  Process Automation  |  Stakeholder Management</w:t>
      </w:r>
    </w:p>
    <w:p>
      <w:pPr>
        <w:spacing w:before="140" w:after="20"/>
        <w:spacing w:line="220" w:lineRule="exact"/>
        <w:pBdr>
          <w:bottom w:val="single" w:sz="4" w:space="3" w:color="0F3D7A"/>
        </w:pBdr>
      </w:pPr>
      <w:r>
        <w:rPr>
          <w:rFonts w:ascii="Calibri" w:hAnsi="Calibri"/>
          <w:b/>
          <w:color w:val="0F3D7A"/>
          <w:sz w:val="18"/>
        </w:rPr>
        <w:t>SELECTED QUANTITATIVE &amp; DATA PROJECTS</w:t>
      </w:r>
    </w:p>
    <w:p>
      <w:pPr>
        <w:spacing w:before="100" w:after="0"/>
        <w:spacing w:line="220" w:lineRule="exact"/>
      </w:pPr>
      <w:r>
        <w:rPr>
          <w:rFonts w:ascii="Calibri" w:hAnsi="Calibri"/>
          <w:b/>
          <w:color w:val="1A1A2E"/>
          <w:sz w:val="18"/>
        </w:rPr>
        <w:t xml:space="preserve">Alpha Analytics  –  Earnings Event Study &amp; Trading Strategies  (Capstone)  </w:t>
      </w:r>
      <w:r>
        <w:rPr>
          <w:rFonts w:ascii="Calibri" w:hAnsi="Calibri"/>
          <w:i/>
          <w:color w:val="0F3D7A"/>
          <w:sz w:val="17"/>
        </w:rPr>
        <w:t>Python  |  Event-study  |  Systematic strategy design  |  Streamlit  |  FMP API  |  SEC EDGAR</w:t>
      </w:r>
    </w:p>
    <w:p>
      <w:pPr>
        <w:pStyle w:val="ListBullet"/>
        <w:spacing w:before="0" w:after="0"/>
        <w:ind w:left="215" w:hanging="215"/>
        <w:spacing w:line="220" w:lineRule="exact"/>
      </w:pPr>
      <w:r>
        <w:rPr>
          <w:rFonts w:ascii="Calibri" w:hAnsi="Calibri"/>
          <w:color w:val="444444"/>
          <w:sz w:val="18"/>
        </w:rPr>
        <w:t>Built an end-to-end quantitative research pipeline across the S&amp;P 100 (2,234 earnings events, 2020–2025): daily OHLCV via yfinance, EPS surprises via FMP, SEC XBRL fundamentals and FRED macro series; engineered event windows, abnormal returns and regime-filter features for each print.</w:t>
      </w:r>
    </w:p>
    <w:p>
      <w:pPr>
        <w:pStyle w:val="ListBullet"/>
        <w:spacing w:before="0" w:after="0"/>
        <w:ind w:left="215" w:hanging="215"/>
        <w:spacing w:line="220" w:lineRule="exact"/>
      </w:pPr>
      <w:r>
        <w:rPr>
          <w:rFonts w:ascii="Calibri" w:hAnsi="Calibri"/>
          <w:color w:val="444444"/>
          <w:sz w:val="18"/>
        </w:rPr>
        <w:t>Tested four systematic strategies; best result — Hold/Cut with MACD-bullish regime filter: +6.07% mean return per event, 81.0% hit-rate, t-stat 22.31. Under realistic portfolio sizing (3% per event, 30% gross cap): CAGR 16.6%, Sharpe 3.90, max drawdown −1.1%.</w:t>
      </w:r>
    </w:p>
    <w:p>
      <w:pPr>
        <w:pStyle w:val="ListBullet"/>
        <w:spacing w:before="0" w:after="0"/>
        <w:ind w:left="215" w:hanging="215"/>
        <w:spacing w:line="220" w:lineRule="exact"/>
      </w:pPr>
      <w:r>
        <w:rPr>
          <w:rFonts w:ascii="Calibri" w:hAnsi="Calibri"/>
          <w:color w:val="444444"/>
          <w:sz w:val="18"/>
        </w:rPr>
        <w:t>Repackaged analysis into a modular Python library with Streamlit dashboard, regime-filter grid, position-sizing simulator and live monitoring module tracking upcoming events and rolling edge metrics.</w:t>
      </w:r>
    </w:p>
    <w:p>
      <w:pPr>
        <w:spacing w:before="100" w:after="0"/>
        <w:spacing w:line="220" w:lineRule="exact"/>
      </w:pPr>
      <w:r>
        <w:rPr>
          <w:rFonts w:ascii="Calibri" w:hAnsi="Calibri"/>
          <w:b/>
          <w:color w:val="1A1A2E"/>
          <w:sz w:val="18"/>
        </w:rPr>
        <w:t xml:space="preserve">Customer Analytics &amp; Predictive Modelling  –  Turtle Games (DA301)  </w:t>
      </w:r>
      <w:r>
        <w:rPr>
          <w:rFonts w:ascii="Calibri" w:hAnsi="Calibri"/>
          <w:i/>
          <w:color w:val="0F3D7A"/>
          <w:sz w:val="17"/>
        </w:rPr>
        <w:t>Python  |  R  |  scikit-learn  |  NLP (VADER)  |  k-means</w:t>
      </w:r>
    </w:p>
    <w:p>
      <w:pPr>
        <w:pStyle w:val="ListBullet"/>
        <w:spacing w:before="0" w:after="0"/>
        <w:ind w:left="215" w:hanging="215"/>
        <w:spacing w:line="220" w:lineRule="exact"/>
      </w:pPr>
      <w:r>
        <w:rPr>
          <w:rFonts w:ascii="Calibri" w:hAnsi="Calibri"/>
          <w:color w:val="444444"/>
          <w:sz w:val="18"/>
        </w:rPr>
        <w:t>Compared linear, multiple-linear and decision-tree regression on 2,000 customer records; the decision tree achieved R² = 0.96 predicting loyalty points from income and spending score, materially outperforming linear models that exhibited heteroscedasticity.</w:t>
      </w:r>
    </w:p>
    <w:p>
      <w:pPr>
        <w:pStyle w:val="ListBullet"/>
        <w:spacing w:before="0" w:after="0"/>
        <w:ind w:left="215" w:hanging="215"/>
        <w:spacing w:line="220" w:lineRule="exact"/>
      </w:pPr>
      <w:r>
        <w:rPr>
          <w:rFonts w:ascii="Calibri" w:hAnsi="Calibri"/>
          <w:color w:val="444444"/>
          <w:sz w:val="18"/>
        </w:rPr>
        <w:t>Applied k-means clustering (elbow + silhouette) to identify five customer segments; used VADER sentiment analysis on product reviews to quantify polarity and surface marketing themes.</w:t>
      </w:r>
    </w:p>
    <w:p>
      <w:pPr>
        <w:spacing w:before="100" w:after="0"/>
        <w:spacing w:line="220" w:lineRule="exact"/>
      </w:pPr>
      <w:r>
        <w:rPr>
          <w:rFonts w:ascii="Calibri" w:hAnsi="Calibri"/>
          <w:b/>
          <w:color w:val="1A1A2E"/>
          <w:sz w:val="18"/>
        </w:rPr>
        <w:t xml:space="preserve">NHS Capacity &amp; Resource Utilisation (DA201)  </w:t>
      </w:r>
      <w:r>
        <w:rPr>
          <w:rFonts w:ascii="Calibri" w:hAnsi="Calibri"/>
          <w:i/>
          <w:color w:val="0F3D7A"/>
          <w:sz w:val="17"/>
        </w:rPr>
        <w:t>Python  |  Tableau  |  Diagnostic analysis  |  Scenario modelling</w:t>
      </w:r>
    </w:p>
    <w:p>
      <w:pPr>
        <w:pStyle w:val="ListBullet"/>
        <w:spacing w:before="0" w:after="0"/>
        <w:ind w:left="215" w:hanging="215"/>
        <w:spacing w:line="220" w:lineRule="exact"/>
      </w:pPr>
      <w:r>
        <w:rPr>
          <w:rFonts w:ascii="Calibri" w:hAnsi="Calibri"/>
          <w:color w:val="444444"/>
          <w:sz w:val="18"/>
        </w:rPr>
        <w:t>Analysed NHS appointment data across 42 ICBs and 106 sub-locations (2020–2022); the 1.2m daily guideline was breached on 175 of 334 days — identified seasonal peaks, regional disparities and the COVID-driven pivot to telephone consultations.</w:t>
      </w:r>
    </w:p>
    <w:p>
      <w:pPr>
        <w:pStyle w:val="ListBullet"/>
        <w:spacing w:before="0" w:after="0"/>
        <w:ind w:left="215" w:hanging="215"/>
        <w:spacing w:line="220" w:lineRule="exact"/>
      </w:pPr>
      <w:r>
        <w:rPr>
          <w:rFonts w:ascii="Calibri" w:hAnsi="Calibri"/>
          <w:color w:val="444444"/>
          <w:sz w:val="18"/>
        </w:rPr>
        <w:t>Built scenario analysis on 3% vs 6% missed-appointment rates; delivered recommendations on data quality, resource allocation and workforce planning to senior NHS stakeholders.</w:t>
      </w:r>
    </w:p>
    <w:p>
      <w:pPr>
        <w:spacing w:before="140" w:after="20"/>
        <w:spacing w:line="220" w:lineRule="exact"/>
        <w:pBdr>
          <w:bottom w:val="single" w:sz="4" w:space="3" w:color="0F3D7A"/>
        </w:pBdr>
      </w:pPr>
      <w:r>
        <w:rPr>
          <w:rFonts w:ascii="Calibri" w:hAnsi="Calibri"/>
          <w:b/>
          <w:color w:val="0F3D7A"/>
          <w:sz w:val="18"/>
        </w:rPr>
        <w:t>WORK HISTORY</w:t>
      </w:r>
    </w:p>
    <w:p>
      <w:pPr>
        <w:spacing w:before="120" w:after="0"/>
        <w:spacing w:line="220" w:lineRule="exact"/>
        <w:tabs>
          <w:tab w:val="right" w:pos="9500"/>
        </w:tabs>
      </w:pPr>
      <w:r>
        <w:rPr>
          <w:rFonts w:ascii="Calibri" w:hAnsi="Calibri"/>
          <w:b/>
          <w:color w:val="1A1A2E"/>
          <w:sz w:val="19"/>
        </w:rPr>
        <w:t xml:space="preserve">PMCL Consulting  </w:t>
      </w:r>
      <w:r>
        <w:rPr>
          <w:rFonts w:ascii="Calibri" w:hAnsi="Calibri"/>
          <w:color w:val="0F3D7A"/>
          <w:sz w:val="18"/>
        </w:rPr>
        <w:t>│  Senior Investment Associate</w:t>
      </w:r>
      <w:r>
        <w:tab/>
      </w:r>
      <w:r>
        <w:rPr>
          <w:rFonts w:ascii="Calibri" w:hAnsi="Calibri"/>
          <w:i/>
          <w:color w:val="444444"/>
          <w:sz w:val="17"/>
        </w:rPr>
        <w:t>Feb 2025 – Present</w:t>
      </w:r>
    </w:p>
    <w:p>
      <w:pPr>
        <w:pStyle w:val="ListBullet"/>
        <w:spacing w:before="0" w:after="0"/>
        <w:ind w:left="215" w:hanging="215"/>
        <w:spacing w:line="220" w:lineRule="exact"/>
      </w:pPr>
      <w:r>
        <w:rPr>
          <w:rFonts w:ascii="Calibri" w:hAnsi="Calibri"/>
          <w:color w:val="444444"/>
          <w:sz w:val="18"/>
        </w:rPr>
        <w:t>Designing and building an ecosystem of LLM-powered agents using the Claude API and Python to automate investment research, reporting and data workflows — including live financial data pipelines via REST APIs — freeing analyst capacity for higher-value advisory work.</w:t>
      </w:r>
    </w:p>
    <w:p>
      <w:pPr>
        <w:pStyle w:val="ListBullet"/>
        <w:spacing w:before="0" w:after="0"/>
        <w:ind w:left="215" w:hanging="215"/>
        <w:spacing w:line="220" w:lineRule="exact"/>
      </w:pPr>
      <w:r>
        <w:rPr>
          <w:rFonts w:ascii="Calibri" w:hAnsi="Calibri"/>
          <w:color w:val="444444"/>
          <w:sz w:val="18"/>
        </w:rPr>
        <w:t>Lead portfolio analysis for charity and non-profit clients: performance analytics, asset allocation, strategic advice, and manager research and selection.</w:t>
      </w:r>
    </w:p>
    <w:p>
      <w:pPr>
        <w:pStyle w:val="ListBullet"/>
        <w:spacing w:before="0" w:after="0"/>
        <w:ind w:left="215" w:hanging="215"/>
        <w:spacing w:line="220" w:lineRule="exact"/>
      </w:pPr>
      <w:r>
        <w:rPr>
          <w:rFonts w:ascii="Calibri" w:hAnsi="Calibri"/>
          <w:color w:val="444444"/>
          <w:sz w:val="18"/>
        </w:rPr>
        <w:t>Built ex-post and ex-ante forecasting models quantifying the impact of asset allocation and expenditure decisions on long-term risk and return outcomes.</w:t>
      </w:r>
    </w:p>
    <w:p>
      <w:pPr>
        <w:pStyle w:val="ListBullet"/>
        <w:spacing w:before="0" w:after="0"/>
        <w:ind w:left="215" w:hanging="215"/>
        <w:spacing w:line="220" w:lineRule="exact"/>
      </w:pPr>
      <w:r>
        <w:rPr>
          <w:rFonts w:ascii="Calibri" w:hAnsi="Calibri"/>
          <w:color w:val="444444"/>
          <w:sz w:val="18"/>
        </w:rPr>
        <w:t>Present quarterly investment reports to client committees; guide trustees through manager selection, portfolio transitions and investment policy.</w:t>
      </w:r>
    </w:p>
    <w:p>
      <w:pPr>
        <w:spacing w:before="120" w:after="0"/>
        <w:spacing w:line="220" w:lineRule="exact"/>
        <w:tabs>
          <w:tab w:val="right" w:pos="9500"/>
        </w:tabs>
      </w:pPr>
      <w:r>
        <w:rPr>
          <w:rFonts w:ascii="Calibri" w:hAnsi="Calibri"/>
          <w:b/>
          <w:color w:val="1A1A2E"/>
          <w:sz w:val="19"/>
        </w:rPr>
        <w:t xml:space="preserve">TTG Spinnaker  </w:t>
      </w:r>
      <w:r>
        <w:rPr>
          <w:rFonts w:ascii="Calibri" w:hAnsi="Calibri"/>
          <w:color w:val="0F3D7A"/>
          <w:sz w:val="18"/>
        </w:rPr>
        <w:t>│  Proprietary Trader</w:t>
      </w:r>
      <w:r>
        <w:tab/>
      </w:r>
      <w:r>
        <w:rPr>
          <w:rFonts w:ascii="Calibri" w:hAnsi="Calibri"/>
          <w:i/>
          <w:color w:val="444444"/>
          <w:sz w:val="17"/>
        </w:rPr>
        <w:t>Jan 2021 – Mar 2024</w:t>
      </w:r>
    </w:p>
    <w:p>
      <w:pPr>
        <w:pStyle w:val="ListBullet"/>
        <w:spacing w:before="0" w:after="0"/>
        <w:ind w:left="215" w:hanging="215"/>
        <w:spacing w:line="220" w:lineRule="exact"/>
      </w:pPr>
      <w:r>
        <w:rPr>
          <w:rFonts w:ascii="Calibri" w:hAnsi="Calibri"/>
          <w:color w:val="444444"/>
          <w:sz w:val="18"/>
        </w:rPr>
        <w:t>Executed a discretionary macro / event-driven strategy across FX, equities, fixed income, commodities and crypto, sizing positions around scheduled catalysts (central bank decisions, CPI releases, earnings) and technical setups.</w:t>
      </w:r>
    </w:p>
    <w:p>
      <w:pPr>
        <w:pStyle w:val="ListBullet"/>
        <w:spacing w:before="0" w:after="0"/>
        <w:ind w:left="215" w:hanging="215"/>
        <w:spacing w:line="220" w:lineRule="exact"/>
      </w:pPr>
      <w:r>
        <w:rPr>
          <w:rFonts w:ascii="Calibri" w:hAnsi="Calibri"/>
          <w:color w:val="444444"/>
          <w:sz w:val="18"/>
        </w:rPr>
        <w:t>Managed risk across a multi-asset book: set position limits, monitored drawdown thresholds and adjusted exposure in response to changing volatility regimes.</w:t>
      </w:r>
    </w:p>
    <w:p>
      <w:pPr>
        <w:pStyle w:val="ListBullet"/>
        <w:spacing w:before="0" w:after="0"/>
        <w:ind w:left="215" w:hanging="215"/>
        <w:spacing w:line="220" w:lineRule="exact"/>
      </w:pPr>
      <w:r>
        <w:rPr>
          <w:rFonts w:ascii="Calibri" w:hAnsi="Calibri"/>
          <w:color w:val="444444"/>
          <w:sz w:val="18"/>
        </w:rPr>
        <w:t>Conducted daily macro research, synthesising economic data, central bank communication and market positioning to generate trade ideas with defined entry, stop and target levels.</w:t>
      </w:r>
    </w:p>
    <w:p>
      <w:pPr>
        <w:spacing w:before="120" w:after="0"/>
        <w:spacing w:line="220" w:lineRule="exact"/>
        <w:tabs>
          <w:tab w:val="right" w:pos="9500"/>
        </w:tabs>
      </w:pPr>
      <w:r>
        <w:rPr>
          <w:rFonts w:ascii="Calibri" w:hAnsi="Calibri"/>
          <w:b/>
          <w:color w:val="1A1A2E"/>
          <w:sz w:val="19"/>
        </w:rPr>
        <w:t xml:space="preserve">Stanhope Capital  </w:t>
      </w:r>
      <w:r>
        <w:rPr>
          <w:rFonts w:ascii="Calibri" w:hAnsi="Calibri"/>
          <w:color w:val="0F3D7A"/>
          <w:sz w:val="18"/>
        </w:rPr>
        <w:t>│  Investment Analyst / Associate</w:t>
      </w:r>
      <w:r>
        <w:tab/>
      </w:r>
      <w:r>
        <w:rPr>
          <w:rFonts w:ascii="Calibri" w:hAnsi="Calibri"/>
          <w:i/>
          <w:color w:val="444444"/>
          <w:sz w:val="17"/>
        </w:rPr>
        <w:t>Jun 2017 – Nov 2020</w:t>
      </w:r>
    </w:p>
    <w:p>
      <w:pPr>
        <w:pStyle w:val="ListBullet"/>
        <w:spacing w:before="0" w:after="0"/>
        <w:ind w:left="215" w:hanging="215"/>
        <w:spacing w:line="220" w:lineRule="exact"/>
      </w:pPr>
      <w:r>
        <w:rPr>
          <w:rFonts w:ascii="Calibri" w:hAnsi="Calibri"/>
          <w:color w:val="444444"/>
          <w:sz w:val="18"/>
        </w:rPr>
        <w:t>Calculated, analysed and modelled performance, risk and allocation data for consolidated multi-asset portfolios; ran multiple attribution models to isolate drivers of excess return across £4bn AUM — clients included British Heart Foundation, LSE and Duchy of Lancaster.</w:t>
      </w:r>
    </w:p>
    <w:p>
      <w:pPr>
        <w:pStyle w:val="ListBullet"/>
        <w:spacing w:before="0" w:after="0"/>
        <w:ind w:left="215" w:hanging="215"/>
        <w:spacing w:line="220" w:lineRule="exact"/>
      </w:pPr>
      <w:r>
        <w:rPr>
          <w:rFonts w:ascii="Calibri" w:hAnsi="Calibri"/>
          <w:color w:val="444444"/>
          <w:sz w:val="18"/>
        </w:rPr>
        <w:t>Spearheaded the redesign and rebuild of the firm's performance database, cutting the monthly and quarterly reporting cycle and materially improving accuracy, scalability and data lineage.</w:t>
      </w:r>
    </w:p>
    <w:p>
      <w:pPr>
        <w:pStyle w:val="ListBullet"/>
        <w:spacing w:before="0" w:after="0"/>
        <w:ind w:left="215" w:hanging="215"/>
        <w:spacing w:line="220" w:lineRule="exact"/>
      </w:pPr>
      <w:r>
        <w:rPr>
          <w:rFonts w:ascii="Calibri" w:hAnsi="Calibri"/>
          <w:color w:val="444444"/>
          <w:sz w:val="18"/>
        </w:rPr>
        <w:t>Delivered bespoke monthly and quarterly investment reports and presentations to charity and non-profit clients with detailed commentary on portfolios, holdings and the macro environment.</w:t>
      </w:r>
    </w:p>
    <w:p>
      <w:pPr>
        <w:pStyle w:val="ListBullet"/>
        <w:spacing w:before="0" w:after="0"/>
        <w:ind w:left="215" w:hanging="215"/>
        <w:spacing w:line="220" w:lineRule="exact"/>
      </w:pPr>
      <w:r>
        <w:rPr>
          <w:rFonts w:ascii="Calibri" w:hAnsi="Calibri"/>
          <w:color w:val="444444"/>
          <w:sz w:val="18"/>
        </w:rPr>
        <w:t>Met with fund managers to evaluate strategy, process and fit against client objectives; assessed investments against ESG restrictions and ensured compliance with each client's IPS.</w:t>
      </w:r>
    </w:p>
    <w:p>
      <w:pPr>
        <w:spacing w:before="140" w:after="20"/>
        <w:spacing w:line="220" w:lineRule="exact"/>
        <w:pBdr>
          <w:bottom w:val="single" w:sz="4" w:space="3" w:color="0F3D7A"/>
        </w:pBdr>
      </w:pPr>
      <w:r>
        <w:rPr>
          <w:rFonts w:ascii="Calibri" w:hAnsi="Calibri"/>
          <w:b/>
          <w:color w:val="0F3D7A"/>
          <w:sz w:val="18"/>
        </w:rPr>
        <w:t>QUALIFICATIONS &amp; CERTIFICATIONS</w:t>
      </w:r>
    </w:p>
    <w:p>
      <w:pPr>
        <w:pStyle w:val="ListBullet"/>
        <w:spacing w:before="0" w:after="0"/>
        <w:ind w:left="215" w:hanging="215"/>
        <w:spacing w:line="220" w:lineRule="exact"/>
      </w:pPr>
      <w:r>
        <w:rPr>
          <w:rFonts w:ascii="Calibri" w:hAnsi="Calibri"/>
          <w:color w:val="444444"/>
          <w:sz w:val="18"/>
        </w:rPr>
        <w:t>CFA Level I &amp; II (passed)  |  CFA Certificate in Performance Attribution  |  Investment Management Certificate (IMC)</w:t>
      </w:r>
    </w:p>
    <w:p>
      <w:pPr>
        <w:spacing w:before="140" w:after="20"/>
        <w:spacing w:line="220" w:lineRule="exact"/>
        <w:pBdr>
          <w:bottom w:val="single" w:sz="4" w:space="3" w:color="0F3D7A"/>
        </w:pBdr>
      </w:pPr>
      <w:r>
        <w:rPr>
          <w:rFonts w:ascii="Calibri" w:hAnsi="Calibri"/>
          <w:b/>
          <w:color w:val="0F3D7A"/>
          <w:sz w:val="18"/>
        </w:rPr>
        <w:t>EDUCATION</w:t>
      </w:r>
    </w:p>
    <w:p>
      <w:pPr>
        <w:spacing w:before="20" w:after="0"/>
        <w:spacing w:line="220" w:lineRule="exact"/>
        <w:tabs>
          <w:tab w:val="right" w:pos="9500"/>
        </w:tabs>
      </w:pPr>
      <w:r>
        <w:rPr>
          <w:rFonts w:ascii="Calibri" w:hAnsi="Calibri"/>
          <w:b/>
          <w:color w:val="1A1A2E"/>
          <w:sz w:val="18"/>
        </w:rPr>
        <w:t xml:space="preserve">London School of Economics  </w:t>
      </w:r>
      <w:r>
        <w:rPr>
          <w:rFonts w:ascii="Calibri" w:hAnsi="Calibri"/>
          <w:color w:val="444444"/>
          <w:sz w:val="18"/>
        </w:rPr>
        <w:t>Data Analytics Career Accelerator – Distinction</w:t>
      </w:r>
      <w:r>
        <w:tab/>
      </w:r>
      <w:r>
        <w:rPr>
          <w:rFonts w:ascii="Calibri" w:hAnsi="Calibri"/>
          <w:i/>
          <w:color w:val="444444"/>
          <w:sz w:val="17"/>
        </w:rPr>
        <w:t>2024</w:t>
      </w:r>
    </w:p>
    <w:p>
      <w:pPr>
        <w:spacing w:before="20" w:after="0"/>
        <w:spacing w:line="220" w:lineRule="exact"/>
        <w:tabs>
          <w:tab w:val="right" w:pos="9500"/>
        </w:tabs>
      </w:pPr>
      <w:r>
        <w:rPr>
          <w:rFonts w:ascii="Calibri" w:hAnsi="Calibri"/>
          <w:b/>
          <w:color w:val="1A1A2E"/>
          <w:sz w:val="18"/>
        </w:rPr>
        <w:t xml:space="preserve">Loughborough University  </w:t>
      </w:r>
      <w:r>
        <w:rPr>
          <w:rFonts w:ascii="Calibri" w:hAnsi="Calibri"/>
          <w:color w:val="444444"/>
          <w:sz w:val="18"/>
        </w:rPr>
        <w:t>BSc Economics – 2:1</w:t>
      </w:r>
      <w:r>
        <w:tab/>
      </w:r>
      <w:r>
        <w:rPr>
          <w:rFonts w:ascii="Calibri" w:hAnsi="Calibri"/>
          <w:i/>
          <w:color w:val="444444"/>
          <w:sz w:val="17"/>
        </w:rPr>
        <w:t>2017</w:t>
      </w:r>
    </w:p>
    <w:p>
      <w:pPr>
        <w:spacing w:before="20" w:after="0"/>
        <w:spacing w:line="220" w:lineRule="exact"/>
      </w:pPr>
      <w:r>
        <w:rPr>
          <w:rFonts w:ascii="Calibri" w:hAnsi="Calibri"/>
          <w:b/>
          <w:color w:val="1A1A2E"/>
          <w:sz w:val="18"/>
        </w:rPr>
        <w:t xml:space="preserve">The London Oratory School  </w:t>
      </w:r>
      <w:r>
        <w:rPr>
          <w:rFonts w:ascii="Calibri" w:hAnsi="Calibri"/>
          <w:color w:val="444444"/>
          <w:sz w:val="18"/>
        </w:rPr>
        <w:t>A-Levels: AAB  |  GCSEs: 2A*, 6A, 2B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