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Regime Filters on Earnings Event-Study Strategies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S&amp;P 100 panel · 2020–2025 · 103 tickers · 2,234 events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Pete Mackin · LSE Data Analytics Career Accelerator capstone · April 2026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The best-performing earnings strategy in the existing backtest — </w:t>
      </w:r>
      <w:r>
        <w:rPr>
          <w:b/>
          <w:bCs/>
        </w:rPr>
        <w:t xml:space="preserve">Hold/Cut (threshold 5%, extension +10)</w:t>
      </w:r>
      <w:r>
        <w:t xml:space="preserve"> — has a mean per-event return of </w:t>
      </w:r>
      <w:r>
        <w:rPr>
          <w:b/>
          <w:bCs/>
        </w:rPr>
        <w:t xml:space="preserve">+2.18% (t = 11.27, hit-rate 59.4%, n = 2,234)</w:t>
      </w:r>
      <w:r>
        <w:t xml:space="preserve">. Adding a simple technical-alignment filter — keeping only announcements where MACD is bullish at the close — nearly triples the mean to </w:t>
      </w:r>
      <w:r>
        <w:rPr>
          <w:b/>
          <w:bCs/>
        </w:rPr>
        <w:t xml:space="preserve">+6.07% (t = 22.31, hit-rate 81.0%, n = 921)</w:t>
      </w:r>
      <w:r>
        <w:t xml:space="preserve"> while collapsing the compounded-equity max drawdown from −93.5% to −25.9%. A stricter “above SMA-50” filter gives very similar per-event economics on 21% of events; a defensive “not RSI-oversold” rejection offers modest uplift and is not recommended as a standalone filter. On the same events, a naive buy-and-hold benchmark returns +1.32% / hit 57.7% — meaningfully worse than unfiltered Hold/Cut, confirming the exit logic itself is adding alpha, which the regime filter then multiplies.</w:t>
      </w:r>
    </w:p>
    <w:p>
      <w:pPr>
        <w:pStyle w:val="Heading1"/>
        <w:spacing w:after="120" w:before="240"/>
      </w:pPr>
      <w:r>
        <w:t xml:space="preserve">Methodology</w:t>
      </w:r>
    </w:p>
    <w:p>
      <w:pPr>
        <w:pStyle w:val="Heading2"/>
        <w:spacing w:after="100" w:before="180"/>
      </w:pPr>
      <w:r>
        <w:t xml:space="preserve">Data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Universe: </w:t>
      </w:r>
      <w:r>
        <w:t xml:space="preserve">S&amp;P 100 (OEX), 104 constituents (103 with reported earnings in-sample).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 set: </w:t>
      </w:r>
      <w:r>
        <w:t xml:space="preserve">2,234 earnings announcements, 2020-01-24 → 2025-07-30. Each event has a ±15 trading-day window, generated from FMP earnings-surprises.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Prices: </w:t>
      </w:r>
      <w:r>
        <w:t xml:space="preserve">daily OHLCV via yfinance.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Indicators: </w:t>
      </w:r>
      <w:r>
        <w:t xml:space="preserve">RSI-14, SMA-20/50/200, EMA-12/26 from FMP </w:t>
      </w:r>
      <w:r>
        <w:rPr>
          <w:i/>
          <w:iCs/>
        </w:rPr>
        <w:t xml:space="preserve">/api/v3/technical_indicator/daily</w:t>
      </w:r>
      <w:r>
        <w:t xml:space="preserve">. MACD derived locally as EMA-12 − EMA-26 with a 9-period EMA signal (FMP does not serve MACD directly).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Coverage: </w:t>
      </w:r>
      <w:r>
        <w:t xml:space="preserve">FMP serves indicator history from 2021-04-19, so 77.5% of events carry regime labels. Pre-2021 events sit in the “NaN” baseline bucket in the grid and are filtered out of the uplift analysis.</w:t>
      </w:r>
    </w:p>
    <w:p>
      <w:pPr>
        <w:pStyle w:val="Heading2"/>
        <w:spacing w:after="100" w:before="180"/>
      </w:pPr>
      <w:r>
        <w:t xml:space="preserve">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Momentum (+1..+H): </w:t>
      </w:r>
      <w:r>
        <w:t xml:space="preserve">long beats / short misses, hold day +1 to day +H after announcement (H = 6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 Run-up (−P..−1): </w:t>
      </w:r>
      <w:r>
        <w:t xml:space="preserve">long entry at close −P trading days before earnings, exit at close −1 (P = 10 by default). Pure pre-announcement drift 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Hold/Cut (threshold 5%, extension +10): </w:t>
      </w:r>
      <w:r>
        <w:t xml:space="preserve">long entry at the announcement-day close; if cumulative return breaches the 5% threshold to the upside, hold +10 trading days further; otherwise exit at end of the standard window. This is the headline strategy from the earlier backtest.</w:t>
      </w:r>
    </w:p>
    <w:p>
      <w:pPr>
        <w:pStyle w:val="Heading2"/>
        <w:spacing w:after="100" w:before="180"/>
      </w:pPr>
      <w:r>
        <w:t xml:space="preserve">Regime features (at snapshot rel_day =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RSI-14 buckets: </w:t>
      </w:r>
      <w:r>
        <w:t xml:space="preserve">oversold (&lt;30), weak (30–50), strong (50–70), overbought (&gt;70).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Trend alignment: </w:t>
      </w:r>
      <w:r>
        <w:t xml:space="preserve">price above SMA-20, SMA-50, SMA-200; SMA-50 &gt; SMA-200 (golden-cross proxy).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MACD state: </w:t>
      </w:r>
      <w:r>
        <w:t xml:space="preserve">MACD &gt; signal (macd_bullish), MACD &gt; 0 (macd_above_zero), macd_hist &gt; 0.</w:t>
      </w:r>
    </w:p>
    <w:p>
      <w:pPr>
        <w:spacing w:after="120"/>
      </w:pPr>
      <w:r>
        <w:rPr>
          <w:b/>
          <w:bCs/>
        </w:rPr>
        <w:t xml:space="preserve">Look-ahead check. </w:t>
      </w:r>
      <w:r>
        <w:t xml:space="preserve">Momentum and Hold/Cut both open positions on the day-0 close; their regime snapshot uses day-0 close values. Entry price and filter value are therefore set at the same instant — no look-ahead. Pre Run-up takes its snapshot at rel_day = −11 and enters at rel_day = −10 open, also clean.</w:t>
      </w:r>
    </w:p>
    <w:p>
      <w:pPr>
        <w:spacing w:after="120"/>
      </w:pPr>
      <w:r>
        <w:rPr>
          <w:b/>
          <w:bCs/>
        </w:rPr>
        <w:t xml:space="preserve">Redundancy: </w:t>
      </w:r>
      <w:r>
        <w:t xml:space="preserve">by construction, macd_hist_positive ≡ macd_bullish (since macd_hist = macd − signal), so the two rows in the grid are identical. Treat as a single feature for multiple-testing correction. Effective test count: 7 features × 3 strategies = 21 comparisons.</w:t>
      </w:r>
    </w:p>
    <w:p>
      <w:pPr>
        <w:pStyle w:val="Heading1"/>
        <w:spacing w:after="120" w:before="240"/>
      </w:pPr>
      <w:r>
        <w:t xml:space="preserve">Results</w:t>
      </w:r>
    </w:p>
    <w:p>
      <w:pPr>
        <w:pStyle w:val="Heading2"/>
        <w:spacing w:after="100" w:before="180"/>
      </w:pPr>
      <w:r>
        <w:t xml:space="preserve">Variant summary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900"/>
        <w:gridCol w:w="900"/>
        <w:gridCol w:w="800"/>
        <w:gridCol w:w="800"/>
        <w:gridCol w:w="700"/>
        <w:gridCol w:w="10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 DD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Unfiltered Hold/Cut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+2.18%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+11.27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−93.5%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MACD bullish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+6.07%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+22.31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−25.9%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Above SMA-50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+6.63%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+15.66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−32.6%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Not RSI-oversold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+2.64%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+13.81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−84.6%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Buy-and-Hold (+1..+10)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+1.32%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+8.31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−73.0%</w:t>
            </w:r>
          </w:p>
        </w:tc>
      </w:tr>
    </w:tbl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Notes. IR = mean / std (per-event, unitless) — Sharpe-equivalent without overlapping-events inflation. Max DD is from the compounded equity curve and is used here as a comparative risk metric, not a realised-P&amp;L claim (earnings events cluster and do not permit 100% sequential reinvestment in practice).</w:t>
      </w:r>
    </w:p>
    <w:p>
      <w:pPr>
        <w:pStyle w:val="Heading2"/>
        <w:spacing w:after="100" w:before="180"/>
      </w:pPr>
      <w:r>
        <w:t xml:space="preserve">Hold/Cut × regime interaction grid (top uplifts, n ≥ 50)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900"/>
        <w:gridCol w:w="900"/>
        <w:gridCol w:w="9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Δ mean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RSI overbought (&gt;70)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+9.75%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95.7%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+18.08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+7.57pp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&gt; SMA-20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+8.67%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86.5%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+17.21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0.89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+6.49pp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&gt; SMA-50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+6.63%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80.7%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+15.66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+4.45pp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MACD bullish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+6.07%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81.0%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+22.31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+3.89pp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RSI 50–70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+4.85%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76.9%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+17.20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+2.67pp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 RSI oversold (&lt;30)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−10.09%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7.4%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−12.03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−1.34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−12.27pp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 MACD bearish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−3.05%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30.1%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−11.61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−0.41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−5.23pp</w:t>
            </w:r>
          </w:p>
        </w:tc>
      </w:tr>
    </w:tbl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Green = primary recommendation; red = avoid-set. Δ mean is uplift vs the 2.18% unfiltered baseline. All listed filters clear a Bonferroni threshold of |t| &gt; 3.48 (α = 0.05, 21 tests) by a very wide margin.</w:t>
      </w:r>
    </w:p>
    <w:p>
      <w:pPr>
        <w:pStyle w:val="Heading2"/>
        <w:spacing w:after="100" w:before="180"/>
      </w:pPr>
      <w:r>
        <w:t xml:space="preserve">Momentum (+1..+H) and Pre Run-up (−P..−1)</w:t>
      </w:r>
    </w:p>
    <w:p>
      <w:pPr>
        <w:spacing w:after="120"/>
      </w:pPr>
      <w:r>
        <w:t xml:space="preserve">Both strategies are effectively regime-inert: no filter produced a mean-return uplift greater than 40 basis points, and the top buckets on each were contrarian (“fundamentals bad”). Interpret: these are already diffuse, high-n strategies whose edge does not concentrate by trend state, so regime filtering does not help. Full grids are in </w:t>
      </w:r>
      <w:r>
        <w:rPr>
          <w:i/>
          <w:iCs/>
        </w:rPr>
        <w:t xml:space="preserve">data/regime_grid_momentum_1_H_sp100.csv</w:t>
      </w:r>
      <w:r>
        <w:t xml:space="preserve"> and </w:t>
      </w:r>
      <w:r>
        <w:rPr>
          <w:i/>
          <w:iCs/>
        </w:rPr>
        <w:t xml:space="preserve">data/regime_grid_pre_runup_P_1_sp100.csv</w:t>
      </w:r>
      <w:r>
        <w:t xml:space="preserve">.</w:t>
      </w:r>
    </w:p>
    <w:p>
      <w:pPr>
        <w:pStyle w:val="Heading1"/>
        <w:spacing w:after="120" w:before="240"/>
      </w:pPr>
      <w:r>
        <w:t xml:space="preserve">Discussion</w:t>
      </w:r>
    </w:p>
    <w:p>
      <w:pPr>
        <w:spacing w:after="120"/>
      </w:pPr>
      <w:r>
        <w:t xml:space="preserve">Hold/Cut is a momentum-continuation bet: the 5% threshold and +10-day extension ride upside follow-through after earnings. Its unfiltered failure mode is catching falling knives — when price enters earnings already in a downtrend, the “upside-follow-through” hypothesis inverts and the extension rule amplifies the loss rather than the gain. The regime filters work because they remove that failure mode at the entry gate.</w:t>
      </w:r>
    </w:p>
    <w:p>
      <w:pPr>
        <w:spacing w:after="120"/>
      </w:pPr>
      <w:r>
        <w:t xml:space="preserve">The RSI-oversold bucket (n = 81) shows the asymmetry most cleanly: mean −10.09%, hit 7.4%, t = −12.03. Excluding just that bucket lifts the unfiltered mean from 2.18% to 2.64% while retaining 96% of events. The larger moves, however, come from positive trend-alignment: MACD bullish, above SMA-50, RSI 50–70 each roughly triple the mean on 20–41% of the sample. Combining them would reduce event count further but is a natural next step (interaction testing).</w:t>
      </w:r>
    </w:p>
    <w:p>
      <w:pPr>
        <w:spacing w:after="120"/>
      </w:pPr>
      <w:r>
        <w:t xml:space="preserve">The Buy-and-Hold benchmark on the same event dates and holding window returns +1.32% with IR 0.18 — meaningfully weaker than unfiltered Hold/Cut (+2.18%, IR 0.24). This separates two sources of alpha: the Hold/Cut exit logic itself contributes roughly 86 basis points over passive exposure, and the regime filter then multiplies that alpha by 4–5x. The filter is the larger lever.</w:t>
      </w:r>
    </w:p>
    <w:p>
      <w:pPr>
        <w:pStyle w:val="Heading1"/>
        <w:spacing w:after="120" w:before="240"/>
      </w:pPr>
      <w:r>
        <w:t xml:space="preserve">Caveats and robustness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Compounded equity numbers. </w:t>
      </w:r>
      <w:r>
        <w:t xml:space="preserve">All equity-curve outputs assume sequential reinvestment of 100% of capital into each event. Because earnings dates overlap heavily (dozens of firms report in the same week), this is not literally achievable. Per-event mean, IR, and t-stat are the honest economic metrics; max drawdown is used here only for cross-variant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Multiple-testing. </w:t>
      </w:r>
      <w:r>
        <w:t xml:space="preserve">Effective test count is 7 regime features × 3 strategies = 21 comparisons. Bonferroni threshold at α = 0.05 is |t| &gt; 3.48. All listed Hold/Cut uplifts clear this by a factor of 4–7×, so the top-line results are very robust. Momentum and Pre Run-up results are small enough that correcting for multiple testing leaves them inconclusive.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Coverage gap. </w:t>
      </w:r>
      <w:r>
        <w:t xml:space="preserve">22.5% of events (pre-2021-04-19) fall outside FMP's indicator history and are unlabelled. They sit in the baseline “all events” row and are omitted from the filtered variants. If the pre-2021 period is systematically different (e.g. 2020 COVID dislocation), that introduces a subtle selection bias — worth checking by running the same grid on a 2021+ subset of the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Regime definition choice. </w:t>
      </w:r>
      <w:r>
        <w:t xml:space="preserve">Thresholds (RSI buckets at 30/50/70; binary SMA crosses) were chosen ex ante from standard technical-analysis conventions, not tuned. Out-of-sample stability should be checked by fitting on e.g. 2020–2023 events and testing on 2024–2025.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Transaction costs. </w:t>
      </w:r>
      <w:r>
        <w:t xml:space="preserve">Returns are gross. The existing pipeline supports a 5-bps round-trip cost adjustment; applying it shaves ~10 bp off each mean and does not change the qualitative ranking. For the MACD-bullish variant the post-cost mean would be roughly +5.97%.</w:t>
      </w:r>
    </w:p>
    <w:p>
      <w:pPr>
        <w:pStyle w:val="Heading1"/>
        <w:spacing w:after="120" w:before="240"/>
      </w:pPr>
      <w:r>
        <w:t xml:space="preserve">Conclusions and next steps</w:t>
      </w:r>
    </w:p>
    <w:p>
      <w:pPr>
        <w:spacing w:after="120"/>
      </w:pPr>
      <w:r>
        <w:rPr>
          <w:b/>
          <w:bCs/>
        </w:rPr>
        <w:t xml:space="preserve">Primary recommendation: </w:t>
      </w:r>
      <w:r>
        <w:t xml:space="preserve">overlay a “MACD &gt; signal at announcement close” filter onto Hold/Cut. On the 2021–2025 sample this selects 41% of announcements (≈ 185 trades / year across the S&amp;P 100), approximately triples the per-event mean return, lifts the hit-rate from 59% to 81%, and collapses comparative max drawdown by roughly 70 percentage points. The uplift is robust to multiple-testing correction.</w:t>
      </w:r>
    </w:p>
    <w:p>
      <w:pPr>
        <w:spacing w:after="120"/>
      </w:pPr>
      <w:r>
        <w:t xml:space="preserve">Suggested extensions: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Interaction test: does adding “above SMA-50” on top of MACD-bullish further concentrate the signal, or is it already priced in by MACD state?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Out-of-sample split: fit thresholds on 2021–2023, evaluate on 2024–2025. Check whether the IR uplift 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Sector decomposition: is the effect driven by a few sectors (e.g. tech) or is it broad-based across the 103 names?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Optimal threshold sweep: the 5%/+10 Hold/Cut parameters were hand-picked. With the regime filter in place, does the optimal (threshold, extension) pair change?</w:t>
      </w:r>
    </w:p>
    <w:p>
      <w:pPr>
        <w:pStyle w:val="Heading1"/>
        <w:spacing w:after="120" w:before="240"/>
      </w:pPr>
      <w:r>
        <w:t xml:space="preserve">Appendix: artefacts</w:t>
      </w:r>
    </w:p>
    <w:p>
      <w:pPr>
        <w:spacing w:after="120"/>
      </w:pPr>
      <w:r>
        <w:rPr>
          <w:i/>
          <w:iCs/>
        </w:rPr>
        <w:t xml:space="preserve">All outputs are in </w:t>
      </w:r>
      <w:r>
        <w:rPr>
          <w:b/>
          <w:bCs/>
          <w:i/>
          <w:iCs/>
        </w:rPr>
        <w:t xml:space="preserve">earnings-analytics/data/</w:t>
      </w:r>
      <w:r>
        <w:rPr>
          <w:i/>
          <w:iCs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indicators_sp100_v2.csv</w:t>
      </w:r>
      <w:r>
        <w:t xml:space="preserve"> — 104-ticker indicator panel (rsi_14, sma_20/50/200, ema_12/26, macd, macd_signal, macd_hist), 2021-04-19 → 2026-04-16.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regime_features_{hold_cut,momentum_1_H,pre_runup_P_1}_sp100.csv</w:t>
      </w:r>
      <w:r>
        <w:t xml:space="preserve"> — per-event regime snapshots.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regime_grid_{strategy}_sp100.csv, regime_uplift_{strategy}_sp100.csv</w:t>
      </w:r>
      <w:r>
        <w:t xml:space="preserve"> — full interaction grids and sorted uplift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filtered_hold_cut_summary.csv</w:t>
      </w:r>
      <w:r>
        <w:t xml:space="preserve"> — comparison of unfiltered + 3 filtered variants + buy-and-hold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equity_curve_hold_cut_{unfiltered,macd_bullish,above_sma50,not_rsi_oversold}.csv, equity_curve_buyhold_benchmark.csv</w:t>
      </w:r>
      <w:r>
        <w:t xml:space="preserve"> — date-keyed equity series for plotting.</w:t>
      </w:r>
    </w:p>
    <w:p>
      <w:pPr>
        <w:spacing w:after="120"/>
      </w:pPr>
      <w:r>
        <w:rPr>
          <w:b/>
          <w:bCs/>
        </w:rPr>
        <w:t xml:space="preserve">Code entry points: </w:t>
      </w:r>
      <w:r>
        <w:rPr>
          <w:i/>
          <w:iCs/>
        </w:rPr>
        <w:t xml:space="preserve">src/run_technical_regime.py</w:t>
      </w:r>
      <w:r>
        <w:t xml:space="preserve"> (grid builder) and </w:t>
      </w:r>
      <w:r>
        <w:rPr>
          <w:i/>
          <w:iCs/>
        </w:rPr>
        <w:t xml:space="preserve">src/analysis/filtered_hold_cut.py</w:t>
      </w:r>
      <w:r>
        <w:t xml:space="preserve"> (filtered backtests). Interactive exploration in </w:t>
      </w:r>
      <w:r>
        <w:rPr>
          <w:i/>
          <w:iCs/>
        </w:rPr>
        <w:t xml:space="preserve">dashboard.py</w:t>
      </w:r>
      <w:r>
        <w:t xml:space="preserve"> → Regime Filters page.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5D8F"/>
      <w:sz w:val="24"/>
      <w:szCs w:val="24"/>
    </w:rPr>
  </w:style>
  <w:style w:type="paragraph" w:styleId="Title">
    <w:name w:val="Title"/>
    <w:basedOn w:val="Normal"/>
    <w:next w:val="Normal"/>
    <w:qFormat/>
    <w:pPr>
      <w:spacing w:after="6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Regime Filters on Earnings Event-Study Strategies</dc:title>
  <dc:creator>Pete Mackin</dc:creator>
  <cp:lastModifiedBy>Un-named</cp:lastModifiedBy>
  <cp:revision>1</cp:revision>
  <dcterms:created xsi:type="dcterms:W3CDTF">2026-04-17T10:09:15.834Z</dcterms:created>
  <dcterms:modified xsi:type="dcterms:W3CDTF">2026-04-17T10:09:15.834Z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