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A6665" w14:textId="4EB4C875" w:rsidR="00E9465B" w:rsidRPr="00E83DAC" w:rsidRDefault="0064729B" w:rsidP="00E83DAC">
      <w:pPr>
        <w:pStyle w:val="Akapitzlist"/>
        <w:numPr>
          <w:ilvl w:val="0"/>
          <w:numId w:val="7"/>
        </w:numPr>
        <w:spacing w:after="0"/>
        <w:rPr>
          <w:rFonts w:ascii="Calibri" w:hAnsi="Calibri" w:cs="Calibri"/>
          <w:lang w:val="en-US"/>
        </w:rPr>
      </w:pPr>
      <w:r w:rsidRPr="00E83DAC">
        <w:rPr>
          <w:rFonts w:ascii="Calibri" w:hAnsi="Calibri" w:cs="Calibri"/>
          <w:lang w:val="en-US"/>
        </w:rPr>
        <w:t>EU targets, actions and aspects of transition</w:t>
      </w:r>
      <w:r w:rsidR="006C0F35" w:rsidRPr="00E83DAC">
        <w:rPr>
          <w:rFonts w:ascii="Calibri" w:hAnsi="Calibri" w:cs="Calibri"/>
          <w:lang w:val="en-US"/>
        </w:rPr>
        <w:t xml:space="preserve"> (</w:t>
      </w:r>
      <w:r w:rsidR="006C0F35" w:rsidRPr="00E83DAC">
        <w:rPr>
          <w:rFonts w:ascii="Calibri" w:hAnsi="Calibri" w:cs="Calibri"/>
          <w:i/>
          <w:iCs/>
          <w:lang w:val="en-US"/>
        </w:rPr>
        <w:t>Making our energy system fit for our climate targets</w:t>
      </w:r>
    </w:p>
    <w:p w14:paraId="0A55C21F" w14:textId="77777777" w:rsidR="00E83DAC" w:rsidRDefault="00E83DAC" w:rsidP="00E83DAC">
      <w:pPr>
        <w:pStyle w:val="Akapitzlist"/>
        <w:spacing w:after="0"/>
        <w:rPr>
          <w:rFonts w:ascii="Calibri" w:hAnsi="Calibri" w:cs="Calibri"/>
          <w:lang w:val="en-US"/>
        </w:rPr>
      </w:pPr>
    </w:p>
    <w:p w14:paraId="14B682C6" w14:textId="3E6A2D39" w:rsidR="00DD4A9C" w:rsidRPr="00E83DAC" w:rsidRDefault="00DD4A9C" w:rsidP="00E83DAC">
      <w:pPr>
        <w:pStyle w:val="Akapitzlist"/>
        <w:numPr>
          <w:ilvl w:val="0"/>
          <w:numId w:val="4"/>
        </w:numPr>
        <w:spacing w:after="0"/>
        <w:rPr>
          <w:rFonts w:ascii="Calibri" w:hAnsi="Calibri" w:cs="Calibri"/>
          <w:lang w:val="en-US"/>
        </w:rPr>
      </w:pPr>
      <w:r w:rsidRPr="00E83DAC">
        <w:rPr>
          <w:rFonts w:ascii="Calibri" w:hAnsi="Calibri" w:cs="Calibri"/>
          <w:lang w:val="en-US"/>
        </w:rPr>
        <w:t xml:space="preserve">GHG emissions: </w:t>
      </w:r>
      <w:r w:rsidR="00E83DAC" w:rsidRPr="00E83DAC">
        <w:rPr>
          <w:rFonts w:ascii="Calibri" w:hAnsi="Calibri" w:cs="Calibri"/>
          <w:lang w:val="en-US"/>
        </w:rPr>
        <w:t xml:space="preserve"> </w:t>
      </w:r>
      <w:r w:rsidRPr="00E83DAC">
        <w:rPr>
          <w:rFonts w:ascii="Calibri" w:hAnsi="Calibri" w:cs="Calibri"/>
          <w:lang w:val="en-US"/>
        </w:rPr>
        <w:t>The Climate Law</w:t>
      </w:r>
      <w:commentRangeStart w:id="0"/>
      <w:r w:rsidRPr="00E83DAC">
        <w:rPr>
          <w:rStyle w:val="Odwoanieprzypisudolnego"/>
          <w:rFonts w:ascii="Calibri" w:hAnsi="Calibri" w:cs="Calibri"/>
          <w:lang w:val="en-US"/>
        </w:rPr>
        <w:footnoteReference w:id="1"/>
      </w:r>
      <w:commentRangeEnd w:id="0"/>
      <w:r w:rsidR="00BB0409">
        <w:rPr>
          <w:rStyle w:val="Odwoaniedokomentarza"/>
        </w:rPr>
        <w:commentReference w:id="0"/>
      </w:r>
      <w:r w:rsidRPr="00E83DAC">
        <w:rPr>
          <w:rFonts w:ascii="Calibri" w:hAnsi="Calibri" w:cs="Calibri"/>
          <w:lang w:val="en-US"/>
        </w:rPr>
        <w:t>:</w:t>
      </w:r>
    </w:p>
    <w:p w14:paraId="2381E33D" w14:textId="601127C8" w:rsidR="00DD4A9C" w:rsidRPr="00E83DAC" w:rsidRDefault="00DD4A9C" w:rsidP="00E83DAC">
      <w:pPr>
        <w:pStyle w:val="Akapitzlist"/>
        <w:numPr>
          <w:ilvl w:val="0"/>
          <w:numId w:val="2"/>
        </w:numPr>
        <w:spacing w:after="0"/>
        <w:rPr>
          <w:rFonts w:ascii="Calibri" w:hAnsi="Calibri" w:cs="Calibri"/>
          <w:lang w:val="en-US"/>
        </w:rPr>
      </w:pPr>
      <w:r w:rsidRPr="00E83DAC">
        <w:rPr>
          <w:rFonts w:ascii="Calibri" w:hAnsi="Calibri" w:cs="Calibri"/>
          <w:lang w:val="en-US"/>
        </w:rPr>
        <w:t>the objective of achieving a climate-neutral EU by 2050</w:t>
      </w:r>
      <w:r w:rsidRPr="00E83DAC">
        <w:rPr>
          <w:rStyle w:val="Odwoanieprzypisudolnego"/>
          <w:rFonts w:ascii="Calibri" w:hAnsi="Calibri" w:cs="Calibri"/>
          <w:lang w:val="en-US"/>
        </w:rPr>
        <w:footnoteReference w:id="2"/>
      </w:r>
      <w:r w:rsidRPr="00E83DAC">
        <w:rPr>
          <w:rFonts w:ascii="Calibri" w:hAnsi="Calibri" w:cs="Calibri"/>
          <w:lang w:val="en-US"/>
        </w:rPr>
        <w:t xml:space="preserve">: </w:t>
      </w:r>
      <w:r w:rsidRPr="00E83DAC">
        <w:rPr>
          <w:rFonts w:ascii="Calibri" w:hAnsi="Calibri" w:cs="Calibri"/>
          <w:lang w:val="en-US"/>
        </w:rPr>
        <w:t>no net emissions of greenhouse gases in 2050 and where economic growth is decoupled from resource use</w:t>
      </w:r>
      <w:r w:rsidRPr="00E83DAC">
        <w:rPr>
          <w:rFonts w:ascii="Calibri" w:hAnsi="Calibri" w:cs="Calibri"/>
          <w:lang w:val="en-US"/>
        </w:rPr>
        <w:t xml:space="preserve"> (Fit for 55)</w:t>
      </w:r>
    </w:p>
    <w:p w14:paraId="22FAB818" w14:textId="596E6B76" w:rsidR="00DD4A9C" w:rsidRPr="00E83DAC" w:rsidRDefault="00DD4A9C" w:rsidP="00E83DAC">
      <w:pPr>
        <w:pStyle w:val="Akapitzlist"/>
        <w:numPr>
          <w:ilvl w:val="0"/>
          <w:numId w:val="2"/>
        </w:numPr>
        <w:spacing w:after="0"/>
        <w:rPr>
          <w:rFonts w:ascii="Calibri" w:hAnsi="Calibri" w:cs="Calibri"/>
          <w:lang w:val="en-US"/>
        </w:rPr>
      </w:pPr>
      <w:r w:rsidRPr="00E83DAC">
        <w:rPr>
          <w:rFonts w:ascii="Calibri" w:hAnsi="Calibri" w:cs="Calibri"/>
          <w:lang w:val="en-US"/>
        </w:rPr>
        <w:t>an ambitious 2030 climate target of at least 55% reduction of net emissions of greenhouse gases as compared to 1990, with clarity on the contribution of emission reductions and removals</w:t>
      </w:r>
      <w:r w:rsidRPr="00E83DAC">
        <w:rPr>
          <w:rFonts w:ascii="Calibri" w:hAnsi="Calibri" w:cs="Calibri"/>
          <w:lang w:val="en-US"/>
        </w:rPr>
        <w:t xml:space="preserve"> </w:t>
      </w:r>
      <w:r w:rsidRPr="00E83DAC">
        <w:rPr>
          <w:rFonts w:ascii="Calibri" w:hAnsi="Calibri" w:cs="Calibri"/>
          <w:lang w:val="en-US"/>
        </w:rPr>
        <w:t>(also in Green New Deal)</w:t>
      </w:r>
      <w:r w:rsidRPr="00E83DAC">
        <w:rPr>
          <w:rStyle w:val="Odwoanieprzypisudolnego"/>
          <w:rFonts w:ascii="Calibri" w:hAnsi="Calibri" w:cs="Calibri"/>
          <w:lang w:val="en-US"/>
        </w:rPr>
        <w:footnoteReference w:id="3"/>
      </w:r>
      <w:r w:rsidRPr="00E83DAC">
        <w:rPr>
          <w:rFonts w:ascii="Calibri" w:hAnsi="Calibri" w:cs="Calibri"/>
          <w:lang w:val="en-US"/>
        </w:rPr>
        <w:t>.</w:t>
      </w:r>
    </w:p>
    <w:p w14:paraId="12B2734E" w14:textId="77777777" w:rsidR="00DD4A9C" w:rsidRPr="00E83DAC" w:rsidRDefault="00DD4A9C" w:rsidP="00E83DAC">
      <w:pPr>
        <w:spacing w:after="0"/>
        <w:rPr>
          <w:rFonts w:ascii="Calibri" w:hAnsi="Calibri" w:cs="Calibri"/>
          <w:lang w:val="en-US"/>
        </w:rPr>
      </w:pPr>
    </w:p>
    <w:p w14:paraId="529C6F3C" w14:textId="017E3134" w:rsidR="00DD4A9C" w:rsidRPr="00E83DAC" w:rsidRDefault="00DD4A9C" w:rsidP="00E83DAC">
      <w:pPr>
        <w:pStyle w:val="Akapitzlist"/>
        <w:numPr>
          <w:ilvl w:val="0"/>
          <w:numId w:val="4"/>
        </w:numPr>
        <w:spacing w:after="0"/>
        <w:rPr>
          <w:rFonts w:ascii="Calibri" w:hAnsi="Calibri" w:cs="Calibri"/>
          <w:lang w:val="en-US"/>
        </w:rPr>
      </w:pPr>
      <w:r w:rsidRPr="00E83DAC">
        <w:rPr>
          <w:rFonts w:ascii="Calibri" w:hAnsi="Calibri" w:cs="Calibri"/>
          <w:lang w:val="en-US"/>
        </w:rPr>
        <w:t>Renewables:</w:t>
      </w:r>
    </w:p>
    <w:p w14:paraId="2896A89A" w14:textId="7B098246" w:rsidR="00DD4A9C" w:rsidRPr="00E83DAC" w:rsidRDefault="00DD4A9C" w:rsidP="00E83DAC">
      <w:pPr>
        <w:pStyle w:val="Akapitzlist"/>
        <w:numPr>
          <w:ilvl w:val="0"/>
          <w:numId w:val="2"/>
        </w:numPr>
        <w:spacing w:after="0"/>
        <w:rPr>
          <w:rFonts w:ascii="Calibri" w:hAnsi="Calibri" w:cs="Calibri"/>
          <w:lang w:val="en-US"/>
        </w:rPr>
      </w:pPr>
      <w:r w:rsidRPr="00E83DAC">
        <w:rPr>
          <w:rFonts w:ascii="Calibri" w:hAnsi="Calibri" w:cs="Calibri"/>
          <w:lang w:val="en-US"/>
        </w:rPr>
        <w:t>The revised Renewable Energy Directive EU/2023/2413 raises the EU's binding renewable target for 2030 to a minimum of 42.5%, up from the previous 32% target, with the aspiration to reach 45%. It means almost doubling the existing share of renewable energy in the EU.  The directive entered into force in all EU countries on 20 November 2023.</w:t>
      </w:r>
      <w:r w:rsidRPr="00E83DAC">
        <w:rPr>
          <w:rStyle w:val="Odwoanieprzypisudolnego"/>
          <w:rFonts w:ascii="Calibri" w:hAnsi="Calibri" w:cs="Calibri"/>
          <w:lang w:val="en-US"/>
        </w:rPr>
        <w:footnoteReference w:id="4"/>
      </w:r>
    </w:p>
    <w:p w14:paraId="1A383D62" w14:textId="77777777" w:rsidR="006C0F35" w:rsidRPr="00E83DAC" w:rsidRDefault="006C0F35" w:rsidP="00E83DAC">
      <w:pPr>
        <w:spacing w:after="0"/>
        <w:rPr>
          <w:rFonts w:ascii="Calibri" w:hAnsi="Calibri" w:cs="Calibri"/>
          <w:lang w:val="en-US"/>
        </w:rPr>
      </w:pPr>
    </w:p>
    <w:p w14:paraId="78B895E5" w14:textId="7DEC4B9B" w:rsidR="006C0F35" w:rsidRPr="00E83DAC" w:rsidRDefault="006C0F35" w:rsidP="00E83DAC">
      <w:pPr>
        <w:pStyle w:val="Akapitzlist"/>
        <w:numPr>
          <w:ilvl w:val="0"/>
          <w:numId w:val="4"/>
        </w:numPr>
        <w:spacing w:after="0"/>
        <w:rPr>
          <w:rFonts w:ascii="Calibri" w:hAnsi="Calibri" w:cs="Calibri"/>
          <w:lang w:val="en-US"/>
        </w:rPr>
      </w:pPr>
      <w:r w:rsidRPr="00E83DAC">
        <w:rPr>
          <w:rFonts w:ascii="Calibri" w:hAnsi="Calibri" w:cs="Calibri"/>
          <w:lang w:val="en-US"/>
        </w:rPr>
        <w:t xml:space="preserve">Energy </w:t>
      </w:r>
      <w:commentRangeStart w:id="1"/>
      <w:r w:rsidRPr="00E83DAC">
        <w:rPr>
          <w:rFonts w:ascii="Calibri" w:hAnsi="Calibri" w:cs="Calibri"/>
          <w:lang w:val="en-US"/>
        </w:rPr>
        <w:t>efficiency</w:t>
      </w:r>
      <w:commentRangeEnd w:id="1"/>
      <w:r w:rsidR="004011A3">
        <w:rPr>
          <w:rStyle w:val="Odwoaniedokomentarza"/>
        </w:rPr>
        <w:commentReference w:id="1"/>
      </w:r>
    </w:p>
    <w:p w14:paraId="2BE34021" w14:textId="2E3E2F97" w:rsidR="00DD4A9C" w:rsidRPr="00E83DAC" w:rsidRDefault="006C0F35" w:rsidP="00E83DAC">
      <w:pPr>
        <w:spacing w:after="0"/>
        <w:rPr>
          <w:rFonts w:ascii="Calibri" w:hAnsi="Calibri" w:cs="Calibri"/>
          <w:lang w:val="en-US"/>
        </w:rPr>
      </w:pPr>
      <w:r w:rsidRPr="00E83DAC">
        <w:rPr>
          <w:rFonts w:ascii="Calibri" w:hAnsi="Calibri" w:cs="Calibri"/>
          <w:lang w:val="en-US"/>
        </w:rPr>
        <w:t>The Energy Efficiency Directive requires Member States to collectively ensure that energy consumption is reduced by at least 9% by 2030 compared to the 2020 reference scenario. This 9% target is equivalent to the 39% and 36% energy efficiency targets for primary and final energy consumption included in the Climate Target Plan, but is simply measured against updated baseline projections made in 2020. </w:t>
      </w:r>
    </w:p>
    <w:p w14:paraId="6AC95FCF" w14:textId="3E5921C9" w:rsidR="006C0F35" w:rsidRDefault="006C0F35" w:rsidP="00E83DAC">
      <w:pPr>
        <w:spacing w:after="0"/>
        <w:rPr>
          <w:rFonts w:ascii="Calibri" w:hAnsi="Calibri" w:cs="Calibri"/>
          <w:lang w:val="en-US"/>
        </w:rPr>
      </w:pPr>
      <w:r w:rsidRPr="00E83DAC">
        <w:rPr>
          <w:rFonts w:ascii="Calibri" w:hAnsi="Calibri" w:cs="Calibri"/>
          <w:b/>
          <w:bCs/>
          <w:lang w:val="en-US"/>
        </w:rPr>
        <w:t>Member States will contribute to achieving the overall EU target through indicative national contributions based on benchmarks of a combination of criteria, which reflect each country's national circumstances.</w:t>
      </w:r>
      <w:r w:rsidRPr="00E83DAC">
        <w:rPr>
          <w:rFonts w:ascii="Calibri" w:hAnsi="Calibri" w:cs="Calibri"/>
          <w:lang w:val="en-US"/>
        </w:rPr>
        <w:t xml:space="preserve"> These include energy intensity, GDP per capita and energy savings potential to complement the fixed rates of energy reduction. Enhanced ‘gap-filling mechanisms' will be triggered when countries fall behind in delivering their national contributions.</w:t>
      </w:r>
    </w:p>
    <w:p w14:paraId="136507F1" w14:textId="77777777" w:rsidR="00C34065" w:rsidRDefault="00C34065" w:rsidP="00E83DAC">
      <w:pPr>
        <w:spacing w:after="0"/>
        <w:rPr>
          <w:rFonts w:ascii="Calibri" w:hAnsi="Calibri" w:cs="Calibri"/>
          <w:lang w:val="en-US"/>
        </w:rPr>
      </w:pPr>
    </w:p>
    <w:p w14:paraId="438CB2E1" w14:textId="3EE60716" w:rsidR="00C34065" w:rsidRPr="00C34065" w:rsidRDefault="00C34065" w:rsidP="00C34065">
      <w:pPr>
        <w:pStyle w:val="Akapitzlist"/>
        <w:numPr>
          <w:ilvl w:val="0"/>
          <w:numId w:val="4"/>
        </w:numPr>
        <w:rPr>
          <w:lang w:val="en-US"/>
        </w:rPr>
      </w:pPr>
      <w:r w:rsidRPr="00C34065">
        <w:rPr>
          <w:lang w:val="en-US"/>
        </w:rPr>
        <w:t>Energy Security</w:t>
      </w:r>
      <w:r>
        <w:rPr>
          <w:lang w:val="en-US"/>
        </w:rPr>
        <w:t xml:space="preserve">: </w:t>
      </w:r>
      <w:r w:rsidRPr="00C34065">
        <w:rPr>
          <w:lang w:val="en-US"/>
        </w:rPr>
        <w:t>In terms of external energy security, the EU remains dependent on imports for half of its primary energy consumption, but has diversified its supply routes, notably for natural gas. Regional cooperation is crucial in this respect. In their NECPs, seven Member States (Bulgaria, Italy, Estonia, Germany, Poland, Croatia, and Ireland) are considering or planning further LNG capacities to ensure supply security or increase competition on the gas markets</w:t>
      </w:r>
    </w:p>
    <w:p w14:paraId="468D06C2" w14:textId="77777777" w:rsidR="006C0F35" w:rsidRPr="00E83DAC" w:rsidRDefault="006C0F35" w:rsidP="00E83DAC">
      <w:pPr>
        <w:spacing w:after="0"/>
        <w:rPr>
          <w:rFonts w:ascii="Calibri" w:hAnsi="Calibri" w:cs="Calibri"/>
          <w:b/>
          <w:bCs/>
          <w:lang w:val="en-US"/>
        </w:rPr>
      </w:pPr>
    </w:p>
    <w:p w14:paraId="0C6AA41E" w14:textId="65F55A1A" w:rsidR="00DD4A9C" w:rsidRPr="00E83DAC" w:rsidRDefault="00E4133E" w:rsidP="00E83DAC">
      <w:pPr>
        <w:pStyle w:val="Akapitzlist"/>
        <w:numPr>
          <w:ilvl w:val="0"/>
          <w:numId w:val="4"/>
        </w:numPr>
        <w:spacing w:after="0"/>
        <w:rPr>
          <w:rFonts w:ascii="Calibri" w:hAnsi="Calibri" w:cs="Calibri"/>
          <w:lang w:val="en-US"/>
        </w:rPr>
      </w:pPr>
      <w:r>
        <w:rPr>
          <w:rFonts w:ascii="Calibri" w:hAnsi="Calibri" w:cs="Calibri"/>
          <w:lang w:val="en-US"/>
        </w:rPr>
        <w:t>M</w:t>
      </w:r>
      <w:r w:rsidR="00DD4A9C" w:rsidRPr="00E83DAC">
        <w:rPr>
          <w:rFonts w:ascii="Calibri" w:hAnsi="Calibri" w:cs="Calibri"/>
          <w:lang w:val="en-US"/>
        </w:rPr>
        <w:t>ore specific sectoral targets</w:t>
      </w:r>
      <w:r w:rsidR="006C0F35" w:rsidRPr="00E83DAC">
        <w:rPr>
          <w:rFonts w:ascii="Calibri" w:hAnsi="Calibri" w:cs="Calibri"/>
          <w:lang w:val="en-US"/>
        </w:rPr>
        <w:t xml:space="preserve"> in </w:t>
      </w:r>
      <w:r w:rsidR="006C0F35" w:rsidRPr="00E83DAC">
        <w:rPr>
          <w:rStyle w:val="Pogrubienie"/>
          <w:rFonts w:ascii="Calibri" w:hAnsi="Calibri" w:cs="Calibri"/>
          <w:lang w:val="en-US"/>
        </w:rPr>
        <w:t>Renewable Energy Directive</w:t>
      </w:r>
      <w:r w:rsidR="006C0F35" w:rsidRPr="00E83DAC">
        <w:rPr>
          <w:rStyle w:val="Pogrubienie"/>
          <w:rFonts w:ascii="Calibri" w:hAnsi="Calibri" w:cs="Calibri"/>
          <w:lang w:val="en-US"/>
        </w:rPr>
        <w:t>:</w:t>
      </w:r>
    </w:p>
    <w:p w14:paraId="60977C0D" w14:textId="77777777" w:rsidR="006C0F35" w:rsidRPr="006C0F35" w:rsidRDefault="006C0F35" w:rsidP="00E83DAC">
      <w:pPr>
        <w:numPr>
          <w:ilvl w:val="0"/>
          <w:numId w:val="5"/>
        </w:numPr>
        <w:spacing w:before="100" w:beforeAutospacing="1" w:after="0" w:line="240" w:lineRule="auto"/>
        <w:rPr>
          <w:rFonts w:ascii="Calibri" w:eastAsia="Times New Roman" w:hAnsi="Calibri" w:cs="Calibri"/>
          <w:kern w:val="0"/>
          <w:lang w:val="en-US" w:eastAsia="pl-PL"/>
          <w14:ligatures w14:val="none"/>
        </w:rPr>
      </w:pPr>
      <w:r w:rsidRPr="006C0F35">
        <w:rPr>
          <w:rFonts w:ascii="Calibri" w:eastAsia="Times New Roman" w:hAnsi="Calibri" w:cs="Calibri"/>
          <w:kern w:val="0"/>
          <w:lang w:val="en-US" w:eastAsia="pl-PL"/>
          <w14:ligatures w14:val="none"/>
        </w:rPr>
        <w:t xml:space="preserve">It increases the renewable targets: </w:t>
      </w:r>
    </w:p>
    <w:p w14:paraId="2E7EF0FD" w14:textId="77777777" w:rsidR="006C0F35" w:rsidRPr="006C0F35" w:rsidRDefault="006C0F35" w:rsidP="00E83DAC">
      <w:pPr>
        <w:numPr>
          <w:ilvl w:val="1"/>
          <w:numId w:val="5"/>
        </w:numPr>
        <w:spacing w:before="100" w:beforeAutospacing="1" w:after="0" w:line="240" w:lineRule="auto"/>
        <w:rPr>
          <w:rFonts w:ascii="Calibri" w:eastAsia="Times New Roman" w:hAnsi="Calibri" w:cs="Calibri"/>
          <w:kern w:val="0"/>
          <w:lang w:val="en-US" w:eastAsia="pl-PL"/>
          <w14:ligatures w14:val="none"/>
        </w:rPr>
      </w:pPr>
      <w:r w:rsidRPr="006C0F35">
        <w:rPr>
          <w:rFonts w:ascii="Calibri" w:eastAsia="Times New Roman" w:hAnsi="Calibri" w:cs="Calibri"/>
          <w:kern w:val="0"/>
          <w:lang w:val="en-US" w:eastAsia="pl-PL"/>
          <w14:ligatures w14:val="none"/>
        </w:rPr>
        <w:t>for transport (13% greenhouse gas intensity reduction)</w:t>
      </w:r>
    </w:p>
    <w:p w14:paraId="56EFF3D3" w14:textId="77777777" w:rsidR="006C0F35" w:rsidRPr="006C0F35" w:rsidRDefault="006C0F35" w:rsidP="00E83DAC">
      <w:pPr>
        <w:numPr>
          <w:ilvl w:val="1"/>
          <w:numId w:val="5"/>
        </w:numPr>
        <w:spacing w:before="100" w:beforeAutospacing="1" w:after="0" w:line="240" w:lineRule="auto"/>
        <w:rPr>
          <w:rFonts w:ascii="Calibri" w:eastAsia="Times New Roman" w:hAnsi="Calibri" w:cs="Calibri"/>
          <w:kern w:val="0"/>
          <w:lang w:val="en-US" w:eastAsia="pl-PL"/>
          <w14:ligatures w14:val="none"/>
        </w:rPr>
      </w:pPr>
      <w:r w:rsidRPr="006C0F35">
        <w:rPr>
          <w:rFonts w:ascii="Calibri" w:eastAsia="Times New Roman" w:hAnsi="Calibri" w:cs="Calibri"/>
          <w:kern w:val="0"/>
          <w:lang w:val="en-US" w:eastAsia="pl-PL"/>
          <w14:ligatures w14:val="none"/>
        </w:rPr>
        <w:t>for heating and cooling (annual binding increase of 1.1 percentage point at national level)</w:t>
      </w:r>
    </w:p>
    <w:p w14:paraId="4E69BE4B" w14:textId="77777777" w:rsidR="006C0F35" w:rsidRPr="006C0F35" w:rsidRDefault="006C0F35" w:rsidP="00E83DAC">
      <w:pPr>
        <w:numPr>
          <w:ilvl w:val="0"/>
          <w:numId w:val="5"/>
        </w:numPr>
        <w:spacing w:before="100" w:beforeAutospacing="1" w:after="0" w:line="240" w:lineRule="auto"/>
        <w:rPr>
          <w:rFonts w:ascii="Calibri" w:eastAsia="Times New Roman" w:hAnsi="Calibri" w:cs="Calibri"/>
          <w:kern w:val="0"/>
          <w:lang w:eastAsia="pl-PL"/>
          <w14:ligatures w14:val="none"/>
        </w:rPr>
      </w:pPr>
      <w:r w:rsidRPr="006C0F35">
        <w:rPr>
          <w:rFonts w:ascii="Calibri" w:eastAsia="Times New Roman" w:hAnsi="Calibri" w:cs="Calibri"/>
          <w:kern w:val="0"/>
          <w:lang w:eastAsia="pl-PL"/>
          <w14:ligatures w14:val="none"/>
        </w:rPr>
        <w:t xml:space="preserve">It establishes indicative targets: </w:t>
      </w:r>
    </w:p>
    <w:p w14:paraId="49B61884" w14:textId="77777777" w:rsidR="006C0F35" w:rsidRPr="006C0F35" w:rsidRDefault="006C0F35" w:rsidP="00E83DAC">
      <w:pPr>
        <w:numPr>
          <w:ilvl w:val="1"/>
          <w:numId w:val="5"/>
        </w:numPr>
        <w:spacing w:before="100" w:beforeAutospacing="1" w:after="0" w:line="240" w:lineRule="auto"/>
        <w:rPr>
          <w:rFonts w:ascii="Calibri" w:eastAsia="Times New Roman" w:hAnsi="Calibri" w:cs="Calibri"/>
          <w:kern w:val="0"/>
          <w:lang w:val="en-US" w:eastAsia="pl-PL"/>
          <w14:ligatures w14:val="none"/>
        </w:rPr>
      </w:pPr>
      <w:r w:rsidRPr="006C0F35">
        <w:rPr>
          <w:rFonts w:ascii="Calibri" w:eastAsia="Times New Roman" w:hAnsi="Calibri" w:cs="Calibri"/>
          <w:kern w:val="0"/>
          <w:lang w:val="en-US" w:eastAsia="pl-PL"/>
          <w14:ligatures w14:val="none"/>
        </w:rPr>
        <w:lastRenderedPageBreak/>
        <w:t>for industry (1.1 percentage point annual increase in renewable energy use)</w:t>
      </w:r>
    </w:p>
    <w:p w14:paraId="2040821B" w14:textId="77777777" w:rsidR="006C0F35" w:rsidRPr="00E83DAC" w:rsidRDefault="006C0F35" w:rsidP="00E83DAC">
      <w:pPr>
        <w:numPr>
          <w:ilvl w:val="1"/>
          <w:numId w:val="5"/>
        </w:numPr>
        <w:spacing w:before="100" w:beforeAutospacing="1" w:after="0" w:line="240" w:lineRule="auto"/>
        <w:rPr>
          <w:rFonts w:ascii="Calibri" w:eastAsia="Times New Roman" w:hAnsi="Calibri" w:cs="Calibri"/>
          <w:kern w:val="0"/>
          <w:lang w:val="en-US" w:eastAsia="pl-PL"/>
          <w14:ligatures w14:val="none"/>
        </w:rPr>
      </w:pPr>
      <w:r w:rsidRPr="006C0F35">
        <w:rPr>
          <w:rFonts w:ascii="Calibri" w:eastAsia="Times New Roman" w:hAnsi="Calibri" w:cs="Calibri"/>
          <w:kern w:val="0"/>
          <w:lang w:val="en-US" w:eastAsia="pl-PL"/>
          <w14:ligatures w14:val="none"/>
        </w:rPr>
        <w:t>for buildings (at least 49% renewable energy share)</w:t>
      </w:r>
    </w:p>
    <w:p w14:paraId="5F0F9A62" w14:textId="33A3715B" w:rsidR="006C0F35" w:rsidRPr="006C0F35" w:rsidRDefault="006C0F35" w:rsidP="00E83DAC">
      <w:pPr>
        <w:numPr>
          <w:ilvl w:val="0"/>
          <w:numId w:val="5"/>
        </w:numPr>
        <w:spacing w:before="100" w:beforeAutospacing="1" w:after="0" w:line="240" w:lineRule="auto"/>
        <w:rPr>
          <w:rFonts w:ascii="Calibri" w:eastAsia="Times New Roman" w:hAnsi="Calibri" w:cs="Calibri"/>
          <w:kern w:val="0"/>
          <w:lang w:val="en-US" w:eastAsia="pl-PL"/>
          <w14:ligatures w14:val="none"/>
        </w:rPr>
      </w:pPr>
      <w:r w:rsidRPr="006C0F35">
        <w:rPr>
          <w:rFonts w:ascii="Calibri" w:eastAsia="Times New Roman" w:hAnsi="Calibri" w:cs="Calibri"/>
          <w:kern w:val="0"/>
          <w:lang w:val="en-US" w:eastAsia="pl-PL"/>
          <w14:ligatures w14:val="none"/>
        </w:rPr>
        <w:t>The Directive also gives an additional push to advanced biofuels and introduces sub-targets for renewable hydrogen and hydrogen-based synthetic fuels:</w:t>
      </w:r>
    </w:p>
    <w:p w14:paraId="74A27F8F" w14:textId="77777777" w:rsidR="006C0F35" w:rsidRPr="006C0F35" w:rsidRDefault="006C0F35" w:rsidP="00E83DAC">
      <w:pPr>
        <w:numPr>
          <w:ilvl w:val="1"/>
          <w:numId w:val="5"/>
        </w:numPr>
        <w:spacing w:before="100" w:beforeAutospacing="1" w:after="0" w:line="240" w:lineRule="auto"/>
        <w:rPr>
          <w:rFonts w:ascii="Calibri" w:eastAsia="Times New Roman" w:hAnsi="Calibri" w:cs="Calibri"/>
          <w:kern w:val="0"/>
          <w:lang w:val="en-US" w:eastAsia="pl-PL"/>
          <w14:ligatures w14:val="none"/>
        </w:rPr>
      </w:pPr>
      <w:r w:rsidRPr="006C0F35">
        <w:rPr>
          <w:rFonts w:ascii="Calibri" w:eastAsia="Times New Roman" w:hAnsi="Calibri" w:cs="Calibri"/>
          <w:kern w:val="0"/>
          <w:lang w:val="en-US" w:eastAsia="pl-PL"/>
          <w14:ligatures w14:val="none"/>
        </w:rPr>
        <w:t>in transport (2.6% for renewable fuels of non-biological origin)</w:t>
      </w:r>
    </w:p>
    <w:p w14:paraId="1904889D" w14:textId="77777777" w:rsidR="006C0F35" w:rsidRPr="006C0F35" w:rsidRDefault="006C0F35" w:rsidP="00E83DAC">
      <w:pPr>
        <w:numPr>
          <w:ilvl w:val="1"/>
          <w:numId w:val="5"/>
        </w:numPr>
        <w:spacing w:before="100" w:beforeAutospacing="1" w:after="0" w:line="240" w:lineRule="auto"/>
        <w:rPr>
          <w:rFonts w:ascii="Calibri" w:eastAsia="Times New Roman" w:hAnsi="Calibri" w:cs="Calibri"/>
          <w:kern w:val="0"/>
          <w:lang w:val="en-US" w:eastAsia="pl-PL"/>
          <w14:ligatures w14:val="none"/>
        </w:rPr>
      </w:pPr>
      <w:r w:rsidRPr="006C0F35">
        <w:rPr>
          <w:rFonts w:ascii="Calibri" w:eastAsia="Times New Roman" w:hAnsi="Calibri" w:cs="Calibri"/>
          <w:kern w:val="0"/>
          <w:lang w:val="en-US" w:eastAsia="pl-PL"/>
          <w14:ligatures w14:val="none"/>
        </w:rPr>
        <w:t>in industry (50% renewable share in hydrogen consumption)</w:t>
      </w:r>
    </w:p>
    <w:p w14:paraId="0583D6EB" w14:textId="77777777" w:rsidR="00DD4A9C" w:rsidRPr="00E83DAC" w:rsidRDefault="00DD4A9C" w:rsidP="00E83DAC">
      <w:pPr>
        <w:spacing w:after="0"/>
        <w:rPr>
          <w:rFonts w:ascii="Calibri" w:hAnsi="Calibri" w:cs="Calibri"/>
          <w:b/>
          <w:bCs/>
          <w:lang w:val="en-US"/>
        </w:rPr>
      </w:pPr>
    </w:p>
    <w:p w14:paraId="0A1E980D" w14:textId="77777777" w:rsidR="00AA5BB2" w:rsidRDefault="00AA5BB2" w:rsidP="00AA5BB2">
      <w:pPr>
        <w:pStyle w:val="Akapitzlist"/>
        <w:numPr>
          <w:ilvl w:val="0"/>
          <w:numId w:val="4"/>
        </w:numPr>
        <w:rPr>
          <w:rFonts w:ascii="Calibri" w:hAnsi="Calibri" w:cs="Calibri"/>
          <w:b/>
          <w:bCs/>
          <w:lang w:val="en-US"/>
        </w:rPr>
      </w:pPr>
      <w:r w:rsidRPr="00ED686C">
        <w:rPr>
          <w:rFonts w:ascii="Calibri" w:hAnsi="Calibri" w:cs="Calibri"/>
          <w:b/>
          <w:bCs/>
          <w:lang w:val="en-US"/>
        </w:rPr>
        <w:t>Socioeconomic impacts (as in Assessment of national energy plans</w:t>
      </w:r>
      <w:r>
        <w:rPr>
          <w:rFonts w:ascii="Calibri" w:hAnsi="Calibri" w:cs="Calibri"/>
          <w:b/>
          <w:bCs/>
          <w:lang w:val="en-US"/>
        </w:rPr>
        <w:t>)</w:t>
      </w:r>
      <w:r>
        <w:rPr>
          <w:rStyle w:val="Odwoanieprzypisudolnego"/>
          <w:rFonts w:ascii="Calibri" w:hAnsi="Calibri" w:cs="Calibri"/>
          <w:b/>
          <w:bCs/>
          <w:lang w:val="en-US"/>
        </w:rPr>
        <w:footnoteReference w:id="5"/>
      </w:r>
    </w:p>
    <w:p w14:paraId="52BBDF3F" w14:textId="77777777" w:rsidR="00AA5BB2" w:rsidRDefault="00AA5BB2" w:rsidP="00AA5BB2">
      <w:pPr>
        <w:pStyle w:val="Akapitzlist"/>
        <w:numPr>
          <w:ilvl w:val="1"/>
          <w:numId w:val="4"/>
        </w:numPr>
        <w:rPr>
          <w:rFonts w:ascii="Calibri" w:hAnsi="Calibri" w:cs="Calibri"/>
          <w:b/>
          <w:bCs/>
          <w:lang w:val="en-US"/>
        </w:rPr>
      </w:pPr>
      <w:r>
        <w:rPr>
          <w:rFonts w:ascii="Calibri" w:hAnsi="Calibri" w:cs="Calibri"/>
          <w:b/>
          <w:bCs/>
          <w:lang w:val="en-US"/>
        </w:rPr>
        <w:t xml:space="preserve">Jobs in renewables – technology and </w:t>
      </w:r>
      <w:commentRangeStart w:id="2"/>
      <w:r>
        <w:rPr>
          <w:rFonts w:ascii="Calibri" w:hAnsi="Calibri" w:cs="Calibri"/>
          <w:b/>
          <w:bCs/>
          <w:lang w:val="en-US"/>
        </w:rPr>
        <w:t>infrastructures</w:t>
      </w:r>
      <w:commentRangeEnd w:id="2"/>
      <w:r>
        <w:rPr>
          <w:rStyle w:val="Odwoaniedokomentarza"/>
        </w:rPr>
        <w:commentReference w:id="2"/>
      </w:r>
      <w:r>
        <w:rPr>
          <w:rFonts w:ascii="Calibri" w:hAnsi="Calibri" w:cs="Calibri"/>
          <w:b/>
          <w:bCs/>
          <w:lang w:val="en-US"/>
        </w:rPr>
        <w:t xml:space="preserve"> </w:t>
      </w:r>
    </w:p>
    <w:p w14:paraId="08E53C52" w14:textId="4A998853" w:rsidR="00AA5BB2" w:rsidRDefault="00AA5BB2" w:rsidP="00AA5BB2">
      <w:pPr>
        <w:pStyle w:val="Akapitzlist"/>
        <w:numPr>
          <w:ilvl w:val="1"/>
          <w:numId w:val="4"/>
        </w:numPr>
        <w:rPr>
          <w:rFonts w:ascii="Calibri" w:hAnsi="Calibri" w:cs="Calibri"/>
          <w:b/>
          <w:bCs/>
          <w:lang w:val="en-US"/>
        </w:rPr>
      </w:pPr>
      <w:r>
        <w:rPr>
          <w:rFonts w:ascii="Calibri" w:hAnsi="Calibri" w:cs="Calibri"/>
          <w:b/>
          <w:bCs/>
          <w:lang w:val="en-US"/>
        </w:rPr>
        <w:t>Brown jobs</w:t>
      </w:r>
    </w:p>
    <w:p w14:paraId="19710BCC" w14:textId="4043FF98" w:rsidR="00AA5BB2" w:rsidRDefault="00AA5BB2" w:rsidP="00AA5BB2">
      <w:pPr>
        <w:pStyle w:val="Akapitzlist"/>
        <w:numPr>
          <w:ilvl w:val="2"/>
          <w:numId w:val="4"/>
        </w:numPr>
        <w:rPr>
          <w:rFonts w:ascii="Calibri" w:hAnsi="Calibri" w:cs="Calibri"/>
          <w:b/>
          <w:bCs/>
          <w:lang w:val="en-US"/>
        </w:rPr>
      </w:pPr>
      <w:r>
        <w:rPr>
          <w:rFonts w:ascii="Calibri" w:hAnsi="Calibri" w:cs="Calibri"/>
          <w:b/>
          <w:bCs/>
          <w:lang w:val="en-US"/>
        </w:rPr>
        <w:t>Extractive industries</w:t>
      </w:r>
      <w:r w:rsidR="005C12D7">
        <w:rPr>
          <w:rFonts w:ascii="Calibri" w:hAnsi="Calibri" w:cs="Calibri"/>
          <w:b/>
          <w:bCs/>
          <w:lang w:val="en-US"/>
        </w:rPr>
        <w:t xml:space="preserve">: </w:t>
      </w:r>
      <w:r w:rsidR="005C12D7" w:rsidRPr="000D69F9">
        <w:rPr>
          <w:lang w:val="en-US"/>
        </w:rPr>
        <w:t>hard coal, lignite, peat or oil shale)</w:t>
      </w:r>
    </w:p>
    <w:p w14:paraId="3D905CEA" w14:textId="2EAE4896" w:rsidR="00AA5BB2" w:rsidRPr="009143A0" w:rsidRDefault="00AA5BB2" w:rsidP="00AA5BB2">
      <w:pPr>
        <w:pStyle w:val="Akapitzlist"/>
        <w:numPr>
          <w:ilvl w:val="2"/>
          <w:numId w:val="4"/>
        </w:numPr>
        <w:rPr>
          <w:rFonts w:ascii="Calibri" w:hAnsi="Calibri" w:cs="Calibri"/>
          <w:b/>
          <w:bCs/>
          <w:lang w:val="en-US"/>
        </w:rPr>
      </w:pPr>
      <w:r>
        <w:rPr>
          <w:rFonts w:ascii="Calibri" w:hAnsi="Calibri" w:cs="Calibri"/>
          <w:b/>
          <w:bCs/>
          <w:lang w:val="en-US"/>
        </w:rPr>
        <w:t>Carbon-intensive industries (also: energy-intensive industries)</w:t>
      </w:r>
      <w:r w:rsidR="00DA3D1D">
        <w:rPr>
          <w:rFonts w:ascii="Calibri" w:hAnsi="Calibri" w:cs="Calibri"/>
          <w:b/>
          <w:bCs/>
          <w:lang w:val="en-US"/>
        </w:rPr>
        <w:t xml:space="preserve">: </w:t>
      </w:r>
      <w:r w:rsidR="00DA3D1D" w:rsidRPr="000D69F9">
        <w:rPr>
          <w:lang w:val="en-US"/>
        </w:rPr>
        <w:t xml:space="preserve">cement, steel, aluminium, fertiliser or paper </w:t>
      </w:r>
      <w:commentRangeStart w:id="3"/>
      <w:r w:rsidR="00DA3D1D" w:rsidRPr="000D69F9">
        <w:rPr>
          <w:lang w:val="en-US"/>
        </w:rPr>
        <w:t>production</w:t>
      </w:r>
      <w:commentRangeEnd w:id="3"/>
      <w:r w:rsidR="00E4133E">
        <w:rPr>
          <w:rStyle w:val="Odwoaniedokomentarza"/>
        </w:rPr>
        <w:commentReference w:id="3"/>
      </w:r>
    </w:p>
    <w:p w14:paraId="5BF60778" w14:textId="08896528" w:rsidR="009143A0" w:rsidRPr="00312FD6" w:rsidRDefault="009143A0" w:rsidP="009143A0">
      <w:pPr>
        <w:pStyle w:val="Akapitzlist"/>
        <w:numPr>
          <w:ilvl w:val="1"/>
          <w:numId w:val="4"/>
        </w:numPr>
        <w:rPr>
          <w:rFonts w:ascii="Calibri" w:hAnsi="Calibri" w:cs="Calibri"/>
          <w:b/>
          <w:bCs/>
          <w:lang w:val="en-US"/>
        </w:rPr>
      </w:pPr>
      <w:r w:rsidRPr="000D69F9">
        <w:rPr>
          <w:lang w:val="en-US"/>
        </w:rPr>
        <w:t xml:space="preserve">Research, innovation and </w:t>
      </w:r>
      <w:commentRangeStart w:id="4"/>
      <w:r w:rsidRPr="000D69F9">
        <w:rPr>
          <w:lang w:val="en-US"/>
        </w:rPr>
        <w:t>competitiveness</w:t>
      </w:r>
      <w:commentRangeEnd w:id="4"/>
      <w:r w:rsidR="001B21B3">
        <w:rPr>
          <w:rStyle w:val="Odwoaniedokomentarza"/>
        </w:rPr>
        <w:commentReference w:id="4"/>
      </w:r>
    </w:p>
    <w:p w14:paraId="79C3AD8C" w14:textId="4DBEAA7E" w:rsidR="00312FD6" w:rsidRPr="00A626CD" w:rsidRDefault="00312FD6" w:rsidP="009143A0">
      <w:pPr>
        <w:pStyle w:val="Akapitzlist"/>
        <w:numPr>
          <w:ilvl w:val="1"/>
          <w:numId w:val="4"/>
        </w:numPr>
        <w:rPr>
          <w:rFonts w:ascii="Calibri" w:hAnsi="Calibri" w:cs="Calibri"/>
          <w:b/>
          <w:bCs/>
          <w:lang w:val="en-US"/>
        </w:rPr>
      </w:pPr>
      <w:r>
        <w:rPr>
          <w:rFonts w:ascii="Calibri" w:hAnsi="Calibri" w:cs="Calibri"/>
          <w:b/>
          <w:bCs/>
          <w:lang w:val="en-US"/>
        </w:rPr>
        <w:t xml:space="preserve">Biodiversity, pollution and </w:t>
      </w:r>
      <w:r w:rsidRPr="00312FD6">
        <w:rPr>
          <w:rFonts w:ascii="Calibri" w:hAnsi="Calibri" w:cs="Calibri"/>
          <w:b/>
          <w:bCs/>
          <w:lang w:val="en-US"/>
        </w:rPr>
        <w:t xml:space="preserve">environmental </w:t>
      </w:r>
      <w:commentRangeStart w:id="5"/>
      <w:r w:rsidRPr="00312FD6">
        <w:rPr>
          <w:rFonts w:ascii="Calibri" w:hAnsi="Calibri" w:cs="Calibri"/>
          <w:b/>
          <w:bCs/>
          <w:lang w:val="en-US"/>
        </w:rPr>
        <w:t>policies</w:t>
      </w:r>
      <w:commentRangeEnd w:id="5"/>
      <w:r w:rsidR="00185B10">
        <w:rPr>
          <w:rStyle w:val="Odwoaniedokomentarza"/>
        </w:rPr>
        <w:commentReference w:id="5"/>
      </w:r>
    </w:p>
    <w:p w14:paraId="5DEA8C8B" w14:textId="77777777" w:rsidR="00AA5BB2" w:rsidRDefault="00AA5BB2" w:rsidP="00AA5BB2">
      <w:pPr>
        <w:pStyle w:val="Akapitzlist"/>
        <w:spacing w:after="0"/>
        <w:rPr>
          <w:rFonts w:ascii="Calibri" w:hAnsi="Calibri" w:cs="Calibri"/>
          <w:lang w:val="en-US"/>
        </w:rPr>
      </w:pPr>
    </w:p>
    <w:p w14:paraId="5BB7C6FC" w14:textId="77777777" w:rsidR="00AA5BB2" w:rsidRDefault="00AA5BB2" w:rsidP="00AA5BB2">
      <w:pPr>
        <w:pStyle w:val="Akapitzlist"/>
        <w:spacing w:after="0"/>
        <w:rPr>
          <w:rFonts w:ascii="Calibri" w:hAnsi="Calibri" w:cs="Calibri"/>
          <w:lang w:val="en-US"/>
        </w:rPr>
      </w:pPr>
    </w:p>
    <w:p w14:paraId="6B15BA7F" w14:textId="697C3AD9" w:rsidR="006C0F35" w:rsidRPr="00AA5BB2" w:rsidRDefault="006C0F35" w:rsidP="00E83DAC">
      <w:pPr>
        <w:pStyle w:val="Akapitzlist"/>
        <w:numPr>
          <w:ilvl w:val="0"/>
          <w:numId w:val="4"/>
        </w:numPr>
        <w:spacing w:after="0"/>
        <w:rPr>
          <w:rFonts w:ascii="Calibri" w:hAnsi="Calibri" w:cs="Calibri"/>
          <w:b/>
          <w:bCs/>
          <w:lang w:val="en-US"/>
        </w:rPr>
      </w:pPr>
      <w:r w:rsidRPr="00AA5BB2">
        <w:rPr>
          <w:rFonts w:ascii="Calibri" w:hAnsi="Calibri" w:cs="Calibri"/>
          <w:b/>
          <w:bCs/>
          <w:lang w:val="en-US"/>
        </w:rPr>
        <w:t xml:space="preserve">How to achieve it? </w:t>
      </w:r>
    </w:p>
    <w:p w14:paraId="799AAFCF" w14:textId="77777777" w:rsidR="006C0F35" w:rsidRPr="00E83DAC" w:rsidRDefault="006C0F35" w:rsidP="00E83DAC">
      <w:pPr>
        <w:pStyle w:val="NormalnyWeb"/>
        <w:spacing w:after="0" w:afterAutospacing="0"/>
        <w:rPr>
          <w:rFonts w:ascii="Calibri" w:hAnsi="Calibri" w:cs="Calibri"/>
          <w:i/>
          <w:iCs/>
          <w:sz w:val="22"/>
          <w:szCs w:val="22"/>
          <w:lang w:val="en-US"/>
        </w:rPr>
      </w:pPr>
      <w:r w:rsidRPr="00E83DAC">
        <w:rPr>
          <w:rFonts w:ascii="Calibri" w:hAnsi="Calibri" w:cs="Calibri"/>
          <w:i/>
          <w:iCs/>
          <w:sz w:val="22"/>
          <w:szCs w:val="22"/>
          <w:lang w:val="en-US"/>
        </w:rPr>
        <w:t>The energy sector accounts for 75% of the EU's greenhouse gas emissions. Saving energy through energy efficiency measures and the massive scale up of renewable energy are key to decarbonising the economy – whether in buildings, industry, transport or other sectors. Both measures directly reduce emissions, air pollution and dependency on fossil fuels.</w:t>
      </w:r>
    </w:p>
    <w:p w14:paraId="78F5F077" w14:textId="77777777" w:rsidR="006C0F35" w:rsidRPr="00E83DAC" w:rsidRDefault="006C0F35" w:rsidP="00E83DAC">
      <w:pPr>
        <w:spacing w:after="0"/>
        <w:rPr>
          <w:rFonts w:ascii="Calibri" w:hAnsi="Calibri" w:cs="Calibri"/>
          <w:lang w:val="en-US"/>
        </w:rPr>
      </w:pPr>
    </w:p>
    <w:p w14:paraId="60DC61D1" w14:textId="77777777" w:rsidR="006C0F35" w:rsidRPr="00E83DAC" w:rsidRDefault="006C0F35" w:rsidP="00E83DAC">
      <w:pPr>
        <w:spacing w:after="0"/>
        <w:rPr>
          <w:rFonts w:ascii="Calibri" w:hAnsi="Calibri" w:cs="Calibri"/>
          <w:lang w:val="en-US"/>
        </w:rPr>
      </w:pPr>
    </w:p>
    <w:p w14:paraId="0D87FD71" w14:textId="77777777" w:rsidR="006C0F35" w:rsidRPr="00E83DAC" w:rsidRDefault="006C0F35" w:rsidP="00E83DAC">
      <w:pPr>
        <w:spacing w:after="0"/>
        <w:rPr>
          <w:rFonts w:ascii="Calibri" w:hAnsi="Calibri" w:cs="Calibri"/>
          <w:lang w:val="en-US"/>
        </w:rPr>
      </w:pPr>
      <w:r w:rsidRPr="00E83DAC">
        <w:rPr>
          <w:rFonts w:ascii="Calibri" w:hAnsi="Calibri" w:cs="Calibri"/>
          <w:lang w:val="en-US"/>
        </w:rPr>
        <w:t xml:space="preserve">Going C L I M A T E - N E U T R A L by 2050. The European Commission’s vision outlines seven main strategic building </w:t>
      </w:r>
      <w:commentRangeStart w:id="6"/>
      <w:r w:rsidRPr="00E83DAC">
        <w:rPr>
          <w:rFonts w:ascii="Calibri" w:hAnsi="Calibri" w:cs="Calibri"/>
          <w:lang w:val="en-US"/>
        </w:rPr>
        <w:t>blocks</w:t>
      </w:r>
      <w:commentRangeEnd w:id="6"/>
      <w:r w:rsidRPr="00E83DAC">
        <w:rPr>
          <w:rStyle w:val="Odwoaniedokomentarza"/>
          <w:rFonts w:ascii="Calibri" w:hAnsi="Calibri" w:cs="Calibri"/>
          <w:sz w:val="22"/>
          <w:szCs w:val="22"/>
        </w:rPr>
        <w:commentReference w:id="6"/>
      </w:r>
      <w:r w:rsidRPr="00E83DAC">
        <w:rPr>
          <w:rFonts w:ascii="Calibri" w:hAnsi="Calibri" w:cs="Calibri"/>
          <w:lang w:val="en-US"/>
        </w:rPr>
        <w:t>:</w:t>
      </w:r>
    </w:p>
    <w:p w14:paraId="35129AE3" w14:textId="77777777" w:rsidR="006C0F35" w:rsidRPr="00E83DAC" w:rsidRDefault="006C0F35" w:rsidP="00E83DAC">
      <w:pPr>
        <w:spacing w:after="0"/>
        <w:rPr>
          <w:rFonts w:ascii="Calibri" w:hAnsi="Calibri" w:cs="Calibri"/>
          <w:lang w:val="en-US"/>
        </w:rPr>
      </w:pPr>
      <w:r w:rsidRPr="00E83DAC">
        <w:rPr>
          <w:rFonts w:ascii="Calibri" w:hAnsi="Calibri" w:cs="Calibri"/>
          <w:lang w:val="en-US"/>
        </w:rPr>
        <w:t>1.</w:t>
      </w:r>
      <w:r w:rsidRPr="00E83DAC">
        <w:rPr>
          <w:rFonts w:ascii="Calibri" w:hAnsi="Calibri" w:cs="Calibri"/>
          <w:lang w:val="en-US"/>
        </w:rPr>
        <w:tab/>
        <w:t>maximise the benefits of energy efficiency, including zero emission buildings;</w:t>
      </w:r>
    </w:p>
    <w:p w14:paraId="25CCD134" w14:textId="77777777" w:rsidR="006C0F35" w:rsidRPr="00E83DAC" w:rsidRDefault="006C0F35" w:rsidP="00E83DAC">
      <w:pPr>
        <w:spacing w:after="0"/>
        <w:rPr>
          <w:rFonts w:ascii="Calibri" w:hAnsi="Calibri" w:cs="Calibri"/>
          <w:lang w:val="en-US"/>
        </w:rPr>
      </w:pPr>
      <w:r w:rsidRPr="00E83DAC">
        <w:rPr>
          <w:rFonts w:ascii="Calibri" w:hAnsi="Calibri" w:cs="Calibri"/>
          <w:lang w:val="en-US"/>
        </w:rPr>
        <w:t>2.</w:t>
      </w:r>
      <w:r w:rsidRPr="00E83DAC">
        <w:rPr>
          <w:rFonts w:ascii="Calibri" w:hAnsi="Calibri" w:cs="Calibri"/>
          <w:lang w:val="en-US"/>
        </w:rPr>
        <w:tab/>
        <w:t>maximise the deployment of renewables and the use of electricity to fully decarbonise Europe’s energy supply;</w:t>
      </w:r>
    </w:p>
    <w:p w14:paraId="3D829075" w14:textId="77777777" w:rsidR="006C0F35" w:rsidRPr="00E83DAC" w:rsidRDefault="006C0F35" w:rsidP="00E83DAC">
      <w:pPr>
        <w:spacing w:after="0"/>
        <w:rPr>
          <w:rFonts w:ascii="Calibri" w:hAnsi="Calibri" w:cs="Calibri"/>
          <w:lang w:val="en-US"/>
        </w:rPr>
      </w:pPr>
      <w:r w:rsidRPr="00E83DAC">
        <w:rPr>
          <w:rFonts w:ascii="Calibri" w:hAnsi="Calibri" w:cs="Calibri"/>
          <w:lang w:val="en-US"/>
        </w:rPr>
        <w:t>3.</w:t>
      </w:r>
      <w:r w:rsidRPr="00E83DAC">
        <w:rPr>
          <w:rFonts w:ascii="Calibri" w:hAnsi="Calibri" w:cs="Calibri"/>
          <w:lang w:val="en-US"/>
        </w:rPr>
        <w:tab/>
        <w:t>embrace clean, safe and connected mobility;</w:t>
      </w:r>
    </w:p>
    <w:p w14:paraId="54ECA6CE" w14:textId="77777777" w:rsidR="006C0F35" w:rsidRPr="00E83DAC" w:rsidRDefault="006C0F35" w:rsidP="00E83DAC">
      <w:pPr>
        <w:spacing w:after="0"/>
        <w:rPr>
          <w:rFonts w:ascii="Calibri" w:hAnsi="Calibri" w:cs="Calibri"/>
          <w:lang w:val="en-US"/>
        </w:rPr>
      </w:pPr>
      <w:r w:rsidRPr="00E83DAC">
        <w:rPr>
          <w:rFonts w:ascii="Calibri" w:hAnsi="Calibri" w:cs="Calibri"/>
          <w:lang w:val="en-US"/>
        </w:rPr>
        <w:t>4.</w:t>
      </w:r>
      <w:r w:rsidRPr="00E83DAC">
        <w:rPr>
          <w:rFonts w:ascii="Calibri" w:hAnsi="Calibri" w:cs="Calibri"/>
          <w:lang w:val="en-US"/>
        </w:rPr>
        <w:tab/>
        <w:t>a competitive EU industry and the circular economy as a key enabler to reduce GHG emissions;</w:t>
      </w:r>
    </w:p>
    <w:p w14:paraId="15C7FF8F" w14:textId="77777777" w:rsidR="006C0F35" w:rsidRPr="00E83DAC" w:rsidRDefault="006C0F35" w:rsidP="00E83DAC">
      <w:pPr>
        <w:spacing w:after="0"/>
        <w:rPr>
          <w:rFonts w:ascii="Calibri" w:hAnsi="Calibri" w:cs="Calibri"/>
          <w:lang w:val="en-US"/>
        </w:rPr>
      </w:pPr>
      <w:r w:rsidRPr="00E83DAC">
        <w:rPr>
          <w:rFonts w:ascii="Calibri" w:hAnsi="Calibri" w:cs="Calibri"/>
          <w:lang w:val="en-US"/>
        </w:rPr>
        <w:t>5.</w:t>
      </w:r>
      <w:r w:rsidRPr="00E83DAC">
        <w:rPr>
          <w:rFonts w:ascii="Calibri" w:hAnsi="Calibri" w:cs="Calibri"/>
          <w:lang w:val="en-US"/>
        </w:rPr>
        <w:tab/>
        <w:t>develop an adequate smart network infrastructure and interconnections;</w:t>
      </w:r>
    </w:p>
    <w:p w14:paraId="34A3D8CE" w14:textId="77777777" w:rsidR="006C0F35" w:rsidRPr="00E83DAC" w:rsidRDefault="006C0F35" w:rsidP="00E83DAC">
      <w:pPr>
        <w:spacing w:after="0"/>
        <w:rPr>
          <w:rFonts w:ascii="Calibri" w:hAnsi="Calibri" w:cs="Calibri"/>
          <w:lang w:val="en-US"/>
        </w:rPr>
      </w:pPr>
      <w:r w:rsidRPr="00E83DAC">
        <w:rPr>
          <w:rFonts w:ascii="Calibri" w:hAnsi="Calibri" w:cs="Calibri"/>
          <w:lang w:val="en-US"/>
        </w:rPr>
        <w:t>6.</w:t>
      </w:r>
      <w:r w:rsidRPr="00E83DAC">
        <w:rPr>
          <w:rFonts w:ascii="Calibri" w:hAnsi="Calibri" w:cs="Calibri"/>
          <w:lang w:val="en-US"/>
        </w:rPr>
        <w:tab/>
        <w:t>reap the full benefits of bioeconomy and create essential carbon sinks;</w:t>
      </w:r>
    </w:p>
    <w:p w14:paraId="17E3F4AC" w14:textId="0CC13819" w:rsidR="006C0F35" w:rsidRPr="00E83DAC" w:rsidRDefault="006C0F35" w:rsidP="00E83DAC">
      <w:pPr>
        <w:spacing w:after="0"/>
        <w:rPr>
          <w:rFonts w:ascii="Calibri" w:hAnsi="Calibri" w:cs="Calibri"/>
          <w:lang w:val="en-US"/>
        </w:rPr>
      </w:pPr>
      <w:r w:rsidRPr="00E83DAC">
        <w:rPr>
          <w:rFonts w:ascii="Calibri" w:hAnsi="Calibri" w:cs="Calibri"/>
          <w:lang w:val="en-US"/>
        </w:rPr>
        <w:t>7.</w:t>
      </w:r>
      <w:r w:rsidRPr="00E83DAC">
        <w:rPr>
          <w:rFonts w:ascii="Calibri" w:hAnsi="Calibri" w:cs="Calibri"/>
          <w:lang w:val="en-US"/>
        </w:rPr>
        <w:tab/>
        <w:t>tackle remaining CO2 emissions with Carbon Capture and Storage (CCS).</w:t>
      </w:r>
    </w:p>
    <w:p w14:paraId="20091988" w14:textId="77777777" w:rsidR="006C0F35" w:rsidRPr="00E83DAC" w:rsidRDefault="006C0F35" w:rsidP="00E83DAC">
      <w:pPr>
        <w:spacing w:after="0"/>
        <w:rPr>
          <w:rFonts w:ascii="Calibri" w:hAnsi="Calibri" w:cs="Calibri"/>
          <w:lang w:val="en-US"/>
        </w:rPr>
      </w:pPr>
    </w:p>
    <w:p w14:paraId="5A54EBC8" w14:textId="1D6BEA3E" w:rsidR="006C0F35" w:rsidRPr="00E83DAC" w:rsidRDefault="00921F6A" w:rsidP="00E83DAC">
      <w:pPr>
        <w:spacing w:after="0"/>
        <w:rPr>
          <w:rFonts w:ascii="Calibri" w:hAnsi="Calibri" w:cs="Calibri"/>
          <w:b/>
          <w:bCs/>
          <w:lang w:val="en-US"/>
        </w:rPr>
      </w:pPr>
      <w:r>
        <w:rPr>
          <w:rFonts w:ascii="Calibri" w:hAnsi="Calibri" w:cs="Calibri"/>
          <w:b/>
          <w:bCs/>
          <w:lang w:val="en-US"/>
        </w:rPr>
        <w:t>P</w:t>
      </w:r>
      <w:r w:rsidR="006C0F35" w:rsidRPr="00E83DAC">
        <w:rPr>
          <w:rFonts w:ascii="Calibri" w:hAnsi="Calibri" w:cs="Calibri"/>
          <w:b/>
          <w:bCs/>
          <w:lang w:val="en-US"/>
        </w:rPr>
        <w:t>athways:</w:t>
      </w:r>
    </w:p>
    <w:p w14:paraId="06E62ECD" w14:textId="77777777" w:rsidR="006C0F35" w:rsidRPr="00E83DAC" w:rsidRDefault="006C0F35" w:rsidP="00E83DAC">
      <w:pPr>
        <w:spacing w:after="0"/>
        <w:rPr>
          <w:rFonts w:ascii="Calibri" w:hAnsi="Calibri" w:cs="Calibri"/>
          <w:lang w:val="en-US"/>
        </w:rPr>
      </w:pPr>
      <w:r w:rsidRPr="00E83DAC">
        <w:rPr>
          <w:rFonts w:ascii="Calibri" w:hAnsi="Calibri" w:cs="Calibri"/>
          <w:lang w:val="en-US"/>
        </w:rPr>
        <w:t>• achieve GHG emissions reductions between 80 % and 100 % compared to 1990, the latter representing a climate-neutral economy by 2050;</w:t>
      </w:r>
    </w:p>
    <w:p w14:paraId="479E2B77" w14:textId="77777777" w:rsidR="006C0F35" w:rsidRPr="00E83DAC" w:rsidRDefault="006C0F35" w:rsidP="00E83DAC">
      <w:pPr>
        <w:spacing w:after="0"/>
        <w:rPr>
          <w:rFonts w:ascii="Calibri" w:hAnsi="Calibri" w:cs="Calibri"/>
          <w:lang w:val="en-US"/>
        </w:rPr>
      </w:pPr>
      <w:r w:rsidRPr="00E83DAC">
        <w:rPr>
          <w:rFonts w:ascii="Calibri" w:hAnsi="Calibri" w:cs="Calibri"/>
          <w:lang w:val="en-US"/>
        </w:rPr>
        <w:t>• build on ‘no regret’ policies like strong use of energy efficiency and renewable energy but varying the intensity of the application of electrification, hydrogen and e-fuels, as well as end-user energy efficiency and the role of the circular economy;</w:t>
      </w:r>
    </w:p>
    <w:p w14:paraId="19F64887" w14:textId="77777777" w:rsidR="006C0F35" w:rsidRDefault="006C0F35" w:rsidP="00E83DAC">
      <w:pPr>
        <w:spacing w:after="0"/>
        <w:rPr>
          <w:rFonts w:ascii="Calibri" w:hAnsi="Calibri" w:cs="Calibri"/>
          <w:lang w:val="en-US"/>
        </w:rPr>
      </w:pPr>
      <w:r w:rsidRPr="00E83DAC">
        <w:rPr>
          <w:rFonts w:ascii="Calibri" w:hAnsi="Calibri" w:cs="Calibri"/>
          <w:lang w:val="en-US"/>
        </w:rPr>
        <w:t>• show that a vibrant EU economy can be combined with ambitious climate policy targets, even with existing technologies.</w:t>
      </w:r>
    </w:p>
    <w:p w14:paraId="280C5A3E" w14:textId="77777777" w:rsidR="00475D59" w:rsidRDefault="00475D59" w:rsidP="00E83DAC">
      <w:pPr>
        <w:spacing w:after="0"/>
        <w:rPr>
          <w:rFonts w:ascii="Calibri" w:hAnsi="Calibri" w:cs="Calibri"/>
          <w:lang w:val="en-US"/>
        </w:rPr>
      </w:pPr>
    </w:p>
    <w:p w14:paraId="714F2334" w14:textId="0FC0072C" w:rsidR="00475D59" w:rsidRDefault="00475D59" w:rsidP="00E83DAC">
      <w:pPr>
        <w:spacing w:after="0"/>
        <w:rPr>
          <w:rFonts w:ascii="Calibri" w:hAnsi="Calibri" w:cs="Calibri"/>
          <w:b/>
          <w:bCs/>
          <w:lang w:val="en-US"/>
        </w:rPr>
      </w:pPr>
      <w:r w:rsidRPr="00475D59">
        <w:rPr>
          <w:rFonts w:ascii="Calibri" w:hAnsi="Calibri" w:cs="Calibri"/>
          <w:b/>
          <w:bCs/>
          <w:lang w:val="en-US"/>
        </w:rPr>
        <w:t>Transition in GND</w:t>
      </w:r>
      <w:r>
        <w:rPr>
          <w:rFonts w:ascii="Calibri" w:hAnsi="Calibri" w:cs="Calibri"/>
          <w:b/>
          <w:bCs/>
          <w:lang w:val="en-US"/>
        </w:rPr>
        <w:t>. Aspects:</w:t>
      </w:r>
      <w:r w:rsidR="00C90A46">
        <w:rPr>
          <w:rStyle w:val="Odwoanieprzypisudolnego"/>
          <w:rFonts w:ascii="Calibri" w:hAnsi="Calibri" w:cs="Calibri"/>
          <w:b/>
          <w:bCs/>
          <w:lang w:val="en-US"/>
        </w:rPr>
        <w:footnoteReference w:id="6"/>
      </w:r>
    </w:p>
    <w:p w14:paraId="23B89274" w14:textId="1A83F0F7" w:rsidR="00475D59" w:rsidRPr="00475D59" w:rsidRDefault="00475D59" w:rsidP="00E83DAC">
      <w:pPr>
        <w:spacing w:after="0"/>
        <w:rPr>
          <w:rFonts w:ascii="Calibri" w:hAnsi="Calibri" w:cs="Calibri"/>
          <w:b/>
          <w:bCs/>
          <w:lang w:val="en-US"/>
        </w:rPr>
      </w:pPr>
      <w:r w:rsidRPr="00BB36B5">
        <w:rPr>
          <w:noProof/>
          <w:lang w:val="en-US"/>
        </w:rPr>
        <w:lastRenderedPageBreak/>
        <w:drawing>
          <wp:inline distT="0" distB="0" distL="0" distR="0" wp14:anchorId="52BFFA50" wp14:editId="60589247">
            <wp:extent cx="5760720" cy="4017010"/>
            <wp:effectExtent l="0" t="0" r="0" b="0"/>
            <wp:docPr id="1022473599" name="Obraz 1" descr="Obraz zawierający tekst, zrzut ekranu, Czcionka,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73599" name="Obraz 1" descr="Obraz zawierający tekst, zrzut ekranu, Czcionka, logo&#10;&#10;Opis wygenerowany automatycznie"/>
                    <pic:cNvPicPr/>
                  </pic:nvPicPr>
                  <pic:blipFill>
                    <a:blip r:embed="rId12"/>
                    <a:stretch>
                      <a:fillRect/>
                    </a:stretch>
                  </pic:blipFill>
                  <pic:spPr>
                    <a:xfrm>
                      <a:off x="0" y="0"/>
                      <a:ext cx="5760720" cy="4017010"/>
                    </a:xfrm>
                    <a:prstGeom prst="rect">
                      <a:avLst/>
                    </a:prstGeom>
                  </pic:spPr>
                </pic:pic>
              </a:graphicData>
            </a:graphic>
          </wp:inline>
        </w:drawing>
      </w:r>
    </w:p>
    <w:p w14:paraId="64A4F632" w14:textId="77777777" w:rsidR="006C0F35" w:rsidRDefault="006C0F35" w:rsidP="00E83DAC">
      <w:pPr>
        <w:spacing w:after="0"/>
        <w:rPr>
          <w:rFonts w:ascii="Calibri" w:hAnsi="Calibri" w:cs="Calibri"/>
          <w:lang w:val="en-US"/>
        </w:rPr>
      </w:pPr>
    </w:p>
    <w:p w14:paraId="58639062" w14:textId="77777777" w:rsidR="00475D59" w:rsidRPr="00E83DAC" w:rsidRDefault="00475D59" w:rsidP="00E83DAC">
      <w:pPr>
        <w:spacing w:after="0"/>
        <w:rPr>
          <w:rFonts w:ascii="Calibri" w:hAnsi="Calibri" w:cs="Calibri"/>
          <w:lang w:val="en-US"/>
        </w:rPr>
      </w:pPr>
    </w:p>
    <w:p w14:paraId="0A73A688" w14:textId="77777777" w:rsidR="00921F6A" w:rsidRPr="00E83DAC" w:rsidRDefault="00921F6A" w:rsidP="00E83DAC">
      <w:pPr>
        <w:spacing w:after="0"/>
        <w:rPr>
          <w:rFonts w:ascii="Calibri" w:hAnsi="Calibri" w:cs="Calibri"/>
          <w:b/>
          <w:bCs/>
          <w:lang w:val="en-US"/>
        </w:rPr>
      </w:pPr>
    </w:p>
    <w:p w14:paraId="6D424DF3" w14:textId="4A017D9E" w:rsidR="00DD4A9C" w:rsidRPr="00E83DAC" w:rsidRDefault="006C0F35" w:rsidP="00E83DAC">
      <w:pPr>
        <w:spacing w:after="0"/>
        <w:rPr>
          <w:rFonts w:ascii="Calibri" w:hAnsi="Calibri" w:cs="Calibri"/>
          <w:b/>
          <w:bCs/>
          <w:lang w:val="en-US"/>
        </w:rPr>
      </w:pPr>
      <w:r w:rsidRPr="00E83DAC">
        <w:rPr>
          <w:rFonts w:ascii="Calibri" w:hAnsi="Calibri" w:cs="Calibri"/>
          <w:b/>
          <w:bCs/>
          <w:lang w:val="en-US"/>
        </w:rPr>
        <w:t>Old strategies:</w:t>
      </w:r>
    </w:p>
    <w:p w14:paraId="4796CB6B" w14:textId="4E5B9DB4" w:rsidR="006C0F35" w:rsidRPr="00E83DAC" w:rsidRDefault="006C0F35" w:rsidP="00E83DAC">
      <w:pPr>
        <w:pStyle w:val="Akapitzlist"/>
        <w:numPr>
          <w:ilvl w:val="0"/>
          <w:numId w:val="3"/>
        </w:numPr>
        <w:spacing w:after="0"/>
        <w:rPr>
          <w:rFonts w:ascii="Calibri" w:hAnsi="Calibri" w:cs="Calibri"/>
          <w:lang w:val="en-US"/>
        </w:rPr>
      </w:pPr>
      <w:r w:rsidRPr="00E83DAC">
        <w:rPr>
          <w:rFonts w:ascii="Calibri" w:hAnsi="Calibri" w:cs="Calibri"/>
          <w:lang w:val="en-US"/>
        </w:rPr>
        <w:t xml:space="preserve">Energy 2020: </w:t>
      </w:r>
      <w:r w:rsidRPr="00E83DAC">
        <w:rPr>
          <w:rFonts w:ascii="Calibri" w:hAnsi="Calibri" w:cs="Calibri"/>
          <w:i/>
          <w:iCs/>
          <w:lang w:val="en-US"/>
        </w:rPr>
        <w:t>With its Energy 2020 strategy for competitive, sustainable and secure energy  COM/2010/0639), the EU aimed to reduce greenhouse gas emissions by at least 20%, increase the share of renewable energy to at least 20% of consumption and achieve energy savings of 20% or more by 2020. All EU countries should also achieve a 10% share of renewable energy in their transport sector. In their national renewable action plans, they explained how they intended to achieve these goals by 2020.</w:t>
      </w:r>
    </w:p>
    <w:p w14:paraId="7EE7BCD1" w14:textId="0FF65C46" w:rsidR="006C0F35" w:rsidRPr="00E83DAC" w:rsidRDefault="006C0F35" w:rsidP="00E83DAC">
      <w:pPr>
        <w:pStyle w:val="Akapitzlist"/>
        <w:numPr>
          <w:ilvl w:val="0"/>
          <w:numId w:val="3"/>
        </w:numPr>
        <w:spacing w:after="0"/>
        <w:rPr>
          <w:rFonts w:ascii="Calibri" w:hAnsi="Calibri" w:cs="Calibri"/>
          <w:lang w:val="en-US"/>
        </w:rPr>
      </w:pPr>
      <w:r w:rsidRPr="00E83DAC">
        <w:rPr>
          <w:rFonts w:ascii="Calibri" w:hAnsi="Calibri" w:cs="Calibri"/>
          <w:lang w:val="en-US"/>
        </w:rPr>
        <w:t>Asessment of NECPs</w:t>
      </w:r>
      <w:r w:rsidRPr="00E83DAC">
        <w:rPr>
          <w:rStyle w:val="Odwoanieprzypisudolnego"/>
          <w:rFonts w:ascii="Calibri" w:hAnsi="Calibri" w:cs="Calibri"/>
          <w:lang w:val="en-US"/>
        </w:rPr>
        <w:footnoteReference w:id="7"/>
      </w:r>
    </w:p>
    <w:p w14:paraId="513396DB" w14:textId="77777777" w:rsidR="0064729B" w:rsidRPr="00E83DAC" w:rsidRDefault="0064729B" w:rsidP="00E83DAC">
      <w:pPr>
        <w:spacing w:after="0"/>
        <w:rPr>
          <w:rFonts w:ascii="Calibri" w:hAnsi="Calibri" w:cs="Calibri"/>
          <w:lang w:val="en-US"/>
        </w:rPr>
      </w:pPr>
    </w:p>
    <w:p w14:paraId="58C74328" w14:textId="77777777" w:rsidR="00E83DAC" w:rsidRDefault="00E83DAC" w:rsidP="00E83DAC">
      <w:pPr>
        <w:spacing w:after="0"/>
        <w:rPr>
          <w:rFonts w:ascii="Calibri" w:hAnsi="Calibri" w:cs="Calibri"/>
          <w:lang w:val="en-US"/>
        </w:rPr>
      </w:pPr>
    </w:p>
    <w:p w14:paraId="05DAC2A2" w14:textId="5B3639F1" w:rsidR="0064729B" w:rsidRPr="000D45C7" w:rsidRDefault="00AA5BB2" w:rsidP="00E83DAC">
      <w:pPr>
        <w:pStyle w:val="Akapitzlist"/>
        <w:numPr>
          <w:ilvl w:val="0"/>
          <w:numId w:val="7"/>
        </w:numPr>
        <w:spacing w:after="0"/>
        <w:rPr>
          <w:rFonts w:ascii="Calibri" w:hAnsi="Calibri" w:cs="Calibri"/>
          <w:b/>
          <w:bCs/>
          <w:lang w:val="en-US"/>
        </w:rPr>
      </w:pPr>
      <w:r>
        <w:rPr>
          <w:rFonts w:ascii="Calibri" w:hAnsi="Calibri" w:cs="Calibri"/>
          <w:b/>
          <w:bCs/>
          <w:lang w:val="en-US"/>
        </w:rPr>
        <w:br w:type="column"/>
      </w:r>
      <w:r w:rsidR="00FC711D">
        <w:rPr>
          <w:rFonts w:ascii="Calibri" w:hAnsi="Calibri" w:cs="Calibri"/>
          <w:b/>
          <w:bCs/>
          <w:lang w:val="en-US"/>
        </w:rPr>
        <w:lastRenderedPageBreak/>
        <w:t>Major d</w:t>
      </w:r>
      <w:r w:rsidR="0064729B" w:rsidRPr="000D45C7">
        <w:rPr>
          <w:rFonts w:ascii="Calibri" w:hAnsi="Calibri" w:cs="Calibri"/>
          <w:b/>
          <w:bCs/>
          <w:lang w:val="en-US"/>
        </w:rPr>
        <w:t>imensions of transition</w:t>
      </w:r>
      <w:r w:rsidR="00FC711D">
        <w:rPr>
          <w:rFonts w:ascii="Calibri" w:hAnsi="Calibri" w:cs="Calibri"/>
          <w:b/>
          <w:bCs/>
          <w:lang w:val="en-US"/>
        </w:rPr>
        <w:t>: in each specific chances and threats</w:t>
      </w:r>
    </w:p>
    <w:p w14:paraId="04B6EDD7" w14:textId="5D2E8581" w:rsidR="00E83DAC" w:rsidRDefault="00E83DAC" w:rsidP="00E83DAC">
      <w:pPr>
        <w:pStyle w:val="Akapitzlist"/>
        <w:numPr>
          <w:ilvl w:val="1"/>
          <w:numId w:val="7"/>
        </w:numPr>
        <w:spacing w:after="0"/>
        <w:rPr>
          <w:rFonts w:ascii="Calibri" w:hAnsi="Calibri" w:cs="Calibri"/>
          <w:lang w:val="en-US"/>
        </w:rPr>
      </w:pPr>
      <w:r>
        <w:rPr>
          <w:rFonts w:ascii="Calibri" w:hAnsi="Calibri" w:cs="Calibri"/>
          <w:lang w:val="en-US"/>
        </w:rPr>
        <w:t>Energy generation (sources mix, infrastructure</w:t>
      </w:r>
      <w:r w:rsidR="00047FA9">
        <w:rPr>
          <w:rFonts w:ascii="Calibri" w:hAnsi="Calibri" w:cs="Calibri"/>
          <w:lang w:val="en-US"/>
        </w:rPr>
        <w:t>, efficiency</w:t>
      </w:r>
      <w:r>
        <w:rPr>
          <w:rFonts w:ascii="Calibri" w:hAnsi="Calibri" w:cs="Calibri"/>
          <w:lang w:val="en-US"/>
        </w:rPr>
        <w:t>)</w:t>
      </w:r>
    </w:p>
    <w:p w14:paraId="2125B530" w14:textId="3B80033C" w:rsidR="00E83DAC" w:rsidRDefault="00E83DAC" w:rsidP="00E83DAC">
      <w:pPr>
        <w:pStyle w:val="Akapitzlist"/>
        <w:numPr>
          <w:ilvl w:val="1"/>
          <w:numId w:val="7"/>
        </w:numPr>
        <w:spacing w:after="0"/>
        <w:rPr>
          <w:rFonts w:ascii="Calibri" w:hAnsi="Calibri" w:cs="Calibri"/>
          <w:lang w:val="en-US"/>
        </w:rPr>
      </w:pPr>
      <w:r>
        <w:rPr>
          <w:rFonts w:ascii="Calibri" w:hAnsi="Calibri" w:cs="Calibri"/>
          <w:lang w:val="en-US"/>
        </w:rPr>
        <w:t xml:space="preserve">Production sector (its energy requirements, resources and productivities, </w:t>
      </w:r>
      <w:r w:rsidR="00FC711D">
        <w:rPr>
          <w:rFonts w:ascii="Calibri" w:hAnsi="Calibri" w:cs="Calibri"/>
          <w:lang w:val="en-US"/>
        </w:rPr>
        <w:t xml:space="preserve">employment structures, </w:t>
      </w:r>
      <w:r>
        <w:rPr>
          <w:rFonts w:ascii="Calibri" w:hAnsi="Calibri" w:cs="Calibri"/>
          <w:lang w:val="en-US"/>
        </w:rPr>
        <w:t>competitiveness)</w:t>
      </w:r>
    </w:p>
    <w:p w14:paraId="53A29284" w14:textId="487F15B6" w:rsidR="00E83DAC" w:rsidRPr="00E83DAC" w:rsidRDefault="00E83DAC" w:rsidP="00E83DAC">
      <w:pPr>
        <w:pStyle w:val="Akapitzlist"/>
        <w:numPr>
          <w:ilvl w:val="1"/>
          <w:numId w:val="7"/>
        </w:numPr>
        <w:spacing w:after="0"/>
        <w:rPr>
          <w:rFonts w:ascii="Calibri" w:hAnsi="Calibri" w:cs="Calibri"/>
          <w:lang w:val="en-US"/>
        </w:rPr>
      </w:pPr>
      <w:r>
        <w:rPr>
          <w:rFonts w:ascii="Calibri" w:hAnsi="Calibri" w:cs="Calibri"/>
          <w:lang w:val="en-US"/>
        </w:rPr>
        <w:t>Consumption (level, patterns, distribution)</w:t>
      </w:r>
    </w:p>
    <w:p w14:paraId="0994B7AA" w14:textId="77777777" w:rsidR="0064729B" w:rsidRPr="00E83DAC" w:rsidRDefault="0064729B" w:rsidP="00E83DAC">
      <w:pPr>
        <w:spacing w:after="0"/>
        <w:rPr>
          <w:rFonts w:ascii="Calibri" w:hAnsi="Calibri" w:cs="Calibri"/>
          <w:lang w:val="en-US"/>
        </w:rPr>
      </w:pPr>
    </w:p>
    <w:p w14:paraId="05BAF773" w14:textId="77777777" w:rsidR="0064729B" w:rsidRPr="00E83DAC" w:rsidRDefault="0064729B" w:rsidP="00E83DAC">
      <w:pPr>
        <w:spacing w:after="0"/>
        <w:rPr>
          <w:rFonts w:ascii="Calibri" w:hAnsi="Calibri" w:cs="Calibri"/>
          <w:lang w:val="en-US"/>
        </w:rPr>
      </w:pPr>
    </w:p>
    <w:p w14:paraId="3738758E" w14:textId="00F11996" w:rsidR="0064729B" w:rsidRPr="000D45C7" w:rsidRDefault="0064729B" w:rsidP="00E83DAC">
      <w:pPr>
        <w:pStyle w:val="Akapitzlist"/>
        <w:numPr>
          <w:ilvl w:val="0"/>
          <w:numId w:val="7"/>
        </w:numPr>
        <w:spacing w:after="0"/>
        <w:rPr>
          <w:rFonts w:ascii="Calibri" w:hAnsi="Calibri" w:cs="Calibri"/>
          <w:b/>
          <w:bCs/>
          <w:lang w:val="en-US"/>
        </w:rPr>
      </w:pPr>
      <w:r w:rsidRPr="000D45C7">
        <w:rPr>
          <w:rFonts w:ascii="Calibri" w:hAnsi="Calibri" w:cs="Calibri"/>
          <w:b/>
          <w:bCs/>
          <w:lang w:val="en-US"/>
        </w:rPr>
        <w:t>Factors of vulnerability / opportunities:</w:t>
      </w:r>
    </w:p>
    <w:p w14:paraId="0E6EE934" w14:textId="1C900882" w:rsidR="00F763AB" w:rsidRPr="00F763AB" w:rsidRDefault="00F763AB" w:rsidP="00F763AB">
      <w:pPr>
        <w:pStyle w:val="Akapitzlist"/>
        <w:numPr>
          <w:ilvl w:val="0"/>
          <w:numId w:val="1"/>
        </w:numPr>
        <w:spacing w:after="0"/>
        <w:rPr>
          <w:rFonts w:ascii="Calibri" w:hAnsi="Calibri" w:cs="Calibri"/>
          <w:lang w:val="en-US"/>
        </w:rPr>
      </w:pPr>
      <w:r>
        <w:rPr>
          <w:rFonts w:ascii="Calibri" w:hAnsi="Calibri" w:cs="Calibri"/>
          <w:lang w:val="en-US"/>
        </w:rPr>
        <w:t xml:space="preserve">Total emissions per </w:t>
      </w:r>
      <w:commentRangeStart w:id="7"/>
      <w:r>
        <w:rPr>
          <w:rFonts w:ascii="Calibri" w:hAnsi="Calibri" w:cs="Calibri"/>
          <w:lang w:val="en-US"/>
        </w:rPr>
        <w:t>capita</w:t>
      </w:r>
      <w:commentRangeEnd w:id="7"/>
      <w:r>
        <w:rPr>
          <w:rStyle w:val="Odwoaniedokomentarza"/>
        </w:rPr>
        <w:commentReference w:id="7"/>
      </w:r>
      <w:r>
        <w:rPr>
          <w:rFonts w:ascii="Calibri" w:hAnsi="Calibri" w:cs="Calibri"/>
          <w:lang w:val="en-US"/>
        </w:rPr>
        <w:t xml:space="preserve"> (alternatively: emissions</w:t>
      </w:r>
      <w:r>
        <w:rPr>
          <w:rFonts w:ascii="Calibri" w:hAnsi="Calibri" w:cs="Calibri"/>
          <w:lang w:val="en-US"/>
        </w:rPr>
        <w:t xml:space="preserve"> except for the</w:t>
      </w:r>
      <w:r>
        <w:rPr>
          <w:rFonts w:ascii="Calibri" w:hAnsi="Calibri" w:cs="Calibri"/>
          <w:lang w:val="en-US"/>
        </w:rPr>
        <w:t xml:space="preserve"> energy and industry sectors – since these sectors are included in other </w:t>
      </w:r>
      <w:r>
        <w:rPr>
          <w:rFonts w:ascii="Calibri" w:hAnsi="Calibri" w:cs="Calibri"/>
          <w:lang w:val="en-US"/>
        </w:rPr>
        <w:t>variables)</w:t>
      </w:r>
    </w:p>
    <w:p w14:paraId="0985E865" w14:textId="77777777" w:rsidR="00F763AB" w:rsidRDefault="00F763AB" w:rsidP="00F763AB">
      <w:pPr>
        <w:pStyle w:val="Akapitzlist"/>
        <w:spacing w:after="0"/>
        <w:rPr>
          <w:rFonts w:ascii="Calibri" w:hAnsi="Calibri" w:cs="Calibri"/>
          <w:lang w:val="en-US"/>
        </w:rPr>
      </w:pPr>
    </w:p>
    <w:p w14:paraId="6327832A" w14:textId="4FF51DD2" w:rsidR="0064729B" w:rsidRPr="00E83DAC" w:rsidRDefault="0064729B" w:rsidP="00E83DAC">
      <w:pPr>
        <w:pStyle w:val="Akapitzlist"/>
        <w:numPr>
          <w:ilvl w:val="0"/>
          <w:numId w:val="1"/>
        </w:numPr>
        <w:spacing w:after="0"/>
        <w:rPr>
          <w:rFonts w:ascii="Calibri" w:hAnsi="Calibri" w:cs="Calibri"/>
          <w:lang w:val="en-US"/>
        </w:rPr>
      </w:pPr>
      <w:r w:rsidRPr="00E83DAC">
        <w:rPr>
          <w:rFonts w:ascii="Calibri" w:hAnsi="Calibri" w:cs="Calibri"/>
          <w:lang w:val="en-US"/>
        </w:rPr>
        <w:t>Energy-mix – source of domestically produced energy:</w:t>
      </w:r>
      <w:r w:rsidR="008268DE" w:rsidRPr="00E83DAC">
        <w:rPr>
          <w:rFonts w:ascii="Calibri" w:hAnsi="Calibri" w:cs="Calibri"/>
          <w:lang w:val="en-US"/>
        </w:rPr>
        <w:t xml:space="preserve"> (</w:t>
      </w:r>
      <w:r w:rsidR="00DD4A9C" w:rsidRPr="00E83DAC">
        <w:rPr>
          <w:rFonts w:ascii="Calibri" w:hAnsi="Calibri" w:cs="Calibri"/>
          <w:lang w:val="en-US"/>
        </w:rPr>
        <w:t xml:space="preserve">i.e. </w:t>
      </w:r>
      <w:r w:rsidR="008268DE" w:rsidRPr="00E83DAC">
        <w:rPr>
          <w:rFonts w:ascii="Calibri" w:hAnsi="Calibri" w:cs="Calibri"/>
          <w:lang w:val="en-US"/>
        </w:rPr>
        <w:t>how far</w:t>
      </w:r>
      <w:r w:rsidR="00DD4A9C" w:rsidRPr="00E83DAC">
        <w:rPr>
          <w:rFonts w:ascii="Calibri" w:hAnsi="Calibri" w:cs="Calibri"/>
          <w:lang w:val="en-US"/>
        </w:rPr>
        <w:t xml:space="preserve"> an economy is</w:t>
      </w:r>
      <w:r w:rsidR="008268DE" w:rsidRPr="00E83DAC">
        <w:rPr>
          <w:rFonts w:ascii="Calibri" w:hAnsi="Calibri" w:cs="Calibri"/>
          <w:lang w:val="en-US"/>
        </w:rPr>
        <w:t xml:space="preserve"> from </w:t>
      </w:r>
      <w:r w:rsidR="00DD4A9C" w:rsidRPr="00E83DAC">
        <w:rPr>
          <w:rFonts w:ascii="Calibri" w:hAnsi="Calibri" w:cs="Calibri"/>
          <w:lang w:val="en-US"/>
        </w:rPr>
        <w:t xml:space="preserve">EU </w:t>
      </w:r>
      <w:r w:rsidR="008268DE" w:rsidRPr="00E83DAC">
        <w:rPr>
          <w:rFonts w:ascii="Calibri" w:hAnsi="Calibri" w:cs="Calibri"/>
          <w:lang w:val="en-US"/>
        </w:rPr>
        <w:t>targets)</w:t>
      </w:r>
    </w:p>
    <w:p w14:paraId="0BE09C19" w14:textId="52C57205" w:rsidR="0064729B" w:rsidRPr="00E83DAC" w:rsidRDefault="0064729B" w:rsidP="00E83DAC">
      <w:pPr>
        <w:pStyle w:val="Akapitzlist"/>
        <w:numPr>
          <w:ilvl w:val="1"/>
          <w:numId w:val="1"/>
        </w:numPr>
        <w:spacing w:after="0"/>
        <w:rPr>
          <w:rFonts w:ascii="Calibri" w:hAnsi="Calibri" w:cs="Calibri"/>
          <w:lang w:val="en-US"/>
        </w:rPr>
      </w:pPr>
      <w:r w:rsidRPr="00E83DAC">
        <w:rPr>
          <w:rFonts w:ascii="Calibri" w:hAnsi="Calibri" w:cs="Calibri"/>
          <w:lang w:val="en-US"/>
        </w:rPr>
        <w:t>Share of renewable energy</w:t>
      </w:r>
      <w:r w:rsidR="00D65222">
        <w:rPr>
          <w:rFonts w:ascii="Calibri" w:hAnsi="Calibri" w:cs="Calibri"/>
          <w:lang w:val="en-US"/>
        </w:rPr>
        <w:t xml:space="preserve"> in energy mix</w:t>
      </w:r>
    </w:p>
    <w:p w14:paraId="572DD511" w14:textId="459F5AA6" w:rsidR="0064729B" w:rsidRPr="00E83DAC" w:rsidRDefault="0064729B" w:rsidP="00E83DAC">
      <w:pPr>
        <w:pStyle w:val="Akapitzlist"/>
        <w:numPr>
          <w:ilvl w:val="1"/>
          <w:numId w:val="1"/>
        </w:numPr>
        <w:spacing w:after="0"/>
        <w:rPr>
          <w:rFonts w:ascii="Calibri" w:hAnsi="Calibri" w:cs="Calibri"/>
          <w:lang w:val="en-US"/>
        </w:rPr>
      </w:pPr>
      <w:r w:rsidRPr="00E83DAC">
        <w:rPr>
          <w:rFonts w:ascii="Calibri" w:hAnsi="Calibri" w:cs="Calibri"/>
          <w:lang w:val="en-US"/>
        </w:rPr>
        <w:t>Share of fossil fuel energy</w:t>
      </w:r>
      <w:r w:rsidR="00D65222">
        <w:rPr>
          <w:rFonts w:ascii="Calibri" w:hAnsi="Calibri" w:cs="Calibri"/>
          <w:lang w:val="en-US"/>
        </w:rPr>
        <w:t xml:space="preserve"> in energy mix</w:t>
      </w:r>
    </w:p>
    <w:p w14:paraId="7F830F73" w14:textId="77777777" w:rsidR="00520B72" w:rsidRPr="001F25C9" w:rsidRDefault="00520B72" w:rsidP="00520B72">
      <w:pPr>
        <w:pStyle w:val="Akapitzlist"/>
        <w:numPr>
          <w:ilvl w:val="1"/>
          <w:numId w:val="1"/>
        </w:numPr>
        <w:spacing w:after="0"/>
        <w:rPr>
          <w:rFonts w:ascii="Calibri" w:hAnsi="Calibri" w:cs="Calibri"/>
          <w:highlight w:val="yellow"/>
          <w:lang w:val="en-US"/>
        </w:rPr>
      </w:pPr>
      <w:r w:rsidRPr="001F25C9">
        <w:rPr>
          <w:rFonts w:ascii="Calibri" w:hAnsi="Calibri" w:cs="Calibri"/>
          <w:highlight w:val="yellow"/>
          <w:lang w:val="en-US"/>
        </w:rPr>
        <w:t xml:space="preserve">Also: </w:t>
      </w:r>
      <w:r w:rsidRPr="001F25C9">
        <w:rPr>
          <w:rFonts w:ascii="Calibri" w:hAnsi="Calibri" w:cs="Calibri"/>
          <w:i/>
          <w:iCs/>
          <w:highlight w:val="yellow"/>
          <w:lang w:val="en-US"/>
        </w:rPr>
        <w:t>climate conditions potential for renewables</w:t>
      </w:r>
      <w:r w:rsidRPr="001F25C9">
        <w:rPr>
          <w:rFonts w:ascii="Calibri" w:hAnsi="Calibri" w:cs="Calibri"/>
          <w:highlight w:val="yellow"/>
          <w:lang w:val="en-US"/>
        </w:rPr>
        <w:t xml:space="preserve"> – number of sunny or windy </w:t>
      </w:r>
      <w:commentRangeStart w:id="8"/>
      <w:r w:rsidRPr="001F25C9">
        <w:rPr>
          <w:rFonts w:ascii="Calibri" w:hAnsi="Calibri" w:cs="Calibri"/>
          <w:highlight w:val="yellow"/>
          <w:lang w:val="en-US"/>
        </w:rPr>
        <w:t>days</w:t>
      </w:r>
      <w:commentRangeEnd w:id="8"/>
      <w:r w:rsidRPr="001F25C9">
        <w:rPr>
          <w:rStyle w:val="Odwoaniedokomentarza"/>
          <w:highlight w:val="yellow"/>
        </w:rPr>
        <w:commentReference w:id="8"/>
      </w:r>
    </w:p>
    <w:p w14:paraId="1B875842" w14:textId="4A2D3C72" w:rsidR="0064729B" w:rsidRPr="00520B72" w:rsidRDefault="00520B72" w:rsidP="0036503B">
      <w:pPr>
        <w:pStyle w:val="Akapitzlist"/>
        <w:numPr>
          <w:ilvl w:val="1"/>
          <w:numId w:val="1"/>
        </w:numPr>
        <w:spacing w:after="0"/>
        <w:rPr>
          <w:rFonts w:ascii="Calibri" w:hAnsi="Calibri" w:cs="Calibri"/>
          <w:lang w:val="en-US"/>
        </w:rPr>
      </w:pPr>
      <w:r w:rsidRPr="00520B72">
        <w:rPr>
          <w:rFonts w:ascii="Calibri" w:hAnsi="Calibri" w:cs="Calibri"/>
          <w:lang w:val="en-US"/>
        </w:rPr>
        <w:t>To consider</w:t>
      </w:r>
      <w:r>
        <w:rPr>
          <w:rFonts w:ascii="Calibri" w:hAnsi="Calibri" w:cs="Calibri"/>
          <w:lang w:val="en-US"/>
        </w:rPr>
        <w:t>:</w:t>
      </w:r>
      <w:r w:rsidR="0064729B" w:rsidRPr="00520B72">
        <w:rPr>
          <w:rFonts w:ascii="Calibri" w:hAnsi="Calibri" w:cs="Calibri"/>
          <w:lang w:val="en-US"/>
        </w:rPr>
        <w:t xml:space="preserve"> </w:t>
      </w:r>
      <w:r w:rsidR="0064729B" w:rsidRPr="00520B72">
        <w:rPr>
          <w:rFonts w:ascii="Calibri" w:hAnsi="Calibri" w:cs="Calibri"/>
          <w:i/>
          <w:iCs/>
          <w:lang w:val="en-US"/>
        </w:rPr>
        <w:t>share of nuclear</w:t>
      </w:r>
      <w:r w:rsidR="0064729B" w:rsidRPr="00520B72">
        <w:rPr>
          <w:rFonts w:ascii="Calibri" w:hAnsi="Calibri" w:cs="Calibri"/>
          <w:lang w:val="en-US"/>
        </w:rPr>
        <w:t xml:space="preserve"> – as a potential carbon-free stabilizer of renewables)</w:t>
      </w:r>
    </w:p>
    <w:p w14:paraId="422E7E2E" w14:textId="77777777" w:rsidR="00745E9A" w:rsidRPr="00E83DAC" w:rsidRDefault="00745E9A" w:rsidP="00745E9A">
      <w:pPr>
        <w:pStyle w:val="Akapitzlist"/>
        <w:spacing w:after="0"/>
        <w:ind w:left="1440"/>
        <w:rPr>
          <w:rFonts w:ascii="Calibri" w:hAnsi="Calibri" w:cs="Calibri"/>
          <w:lang w:val="en-US"/>
        </w:rPr>
      </w:pPr>
    </w:p>
    <w:p w14:paraId="3CADF093" w14:textId="2F476F93" w:rsidR="0064729B" w:rsidRPr="00E83DAC" w:rsidRDefault="0064729B" w:rsidP="00E83DAC">
      <w:pPr>
        <w:pStyle w:val="Akapitzlist"/>
        <w:numPr>
          <w:ilvl w:val="0"/>
          <w:numId w:val="1"/>
        </w:numPr>
        <w:spacing w:after="0"/>
        <w:rPr>
          <w:rFonts w:ascii="Calibri" w:hAnsi="Calibri" w:cs="Calibri"/>
          <w:lang w:val="en-US"/>
        </w:rPr>
      </w:pPr>
      <w:r w:rsidRPr="00E83DAC">
        <w:rPr>
          <w:rFonts w:ascii="Calibri" w:hAnsi="Calibri" w:cs="Calibri"/>
          <w:lang w:val="en-US"/>
        </w:rPr>
        <w:t>Energy productivity</w:t>
      </w:r>
      <w:r w:rsidR="008268DE" w:rsidRPr="00E83DAC">
        <w:rPr>
          <w:rFonts w:ascii="Calibri" w:hAnsi="Calibri" w:cs="Calibri"/>
          <w:lang w:val="en-US"/>
        </w:rPr>
        <w:t xml:space="preserve"> (the higher, the lower the share of GDP necessary to devote to transition itself)</w:t>
      </w:r>
    </w:p>
    <w:p w14:paraId="2A7DCD09" w14:textId="4B392012" w:rsidR="0064729B" w:rsidRDefault="0064729B" w:rsidP="00E83DAC">
      <w:pPr>
        <w:pStyle w:val="Akapitzlist"/>
        <w:numPr>
          <w:ilvl w:val="1"/>
          <w:numId w:val="1"/>
        </w:numPr>
        <w:spacing w:after="0"/>
        <w:rPr>
          <w:rFonts w:ascii="Calibri" w:hAnsi="Calibri" w:cs="Calibri"/>
          <w:lang w:val="en-US"/>
        </w:rPr>
      </w:pPr>
      <w:r w:rsidRPr="00E83DAC">
        <w:rPr>
          <w:rFonts w:ascii="Calibri" w:hAnsi="Calibri" w:cs="Calibri"/>
          <w:lang w:val="en-US"/>
        </w:rPr>
        <w:t xml:space="preserve">GDP per capita </w:t>
      </w:r>
      <w:r w:rsidR="008268DE" w:rsidRPr="00E83DAC">
        <w:rPr>
          <w:rFonts w:ascii="Calibri" w:hAnsi="Calibri" w:cs="Calibri"/>
          <w:lang w:val="en-US"/>
        </w:rPr>
        <w:t>(in PPP or in EUR)</w:t>
      </w:r>
      <w:r w:rsidRPr="00E83DAC">
        <w:rPr>
          <w:rFonts w:ascii="Calibri" w:hAnsi="Calibri" w:cs="Calibri"/>
          <w:lang w:val="en-US"/>
        </w:rPr>
        <w:t xml:space="preserve"> per unit of energy</w:t>
      </w:r>
    </w:p>
    <w:p w14:paraId="5D104259" w14:textId="77777777" w:rsidR="00745E9A" w:rsidRPr="00E83DAC" w:rsidRDefault="00745E9A" w:rsidP="00745E9A">
      <w:pPr>
        <w:pStyle w:val="Akapitzlist"/>
        <w:spacing w:after="0"/>
        <w:ind w:left="1440"/>
        <w:rPr>
          <w:rFonts w:ascii="Calibri" w:hAnsi="Calibri" w:cs="Calibri"/>
          <w:lang w:val="en-US"/>
        </w:rPr>
      </w:pPr>
    </w:p>
    <w:p w14:paraId="5D7635F8" w14:textId="01514BF6" w:rsidR="0064729B" w:rsidRPr="00E83DAC" w:rsidRDefault="0064729B" w:rsidP="00E83DAC">
      <w:pPr>
        <w:pStyle w:val="Akapitzlist"/>
        <w:numPr>
          <w:ilvl w:val="0"/>
          <w:numId w:val="1"/>
        </w:numPr>
        <w:spacing w:after="0"/>
        <w:rPr>
          <w:rFonts w:ascii="Calibri" w:hAnsi="Calibri" w:cs="Calibri"/>
          <w:lang w:val="en-US"/>
        </w:rPr>
      </w:pPr>
      <w:r w:rsidRPr="00E83DAC">
        <w:rPr>
          <w:rFonts w:ascii="Calibri" w:hAnsi="Calibri" w:cs="Calibri"/>
          <w:lang w:val="en-US"/>
        </w:rPr>
        <w:t>Energy security:</w:t>
      </w:r>
      <w:r w:rsidR="008268DE" w:rsidRPr="00E83DAC">
        <w:rPr>
          <w:rFonts w:ascii="Calibri" w:hAnsi="Calibri" w:cs="Calibri"/>
          <w:lang w:val="en-US"/>
        </w:rPr>
        <w:t xml:space="preserve"> (need to pay other countries for domestically consumed energy)</w:t>
      </w:r>
    </w:p>
    <w:p w14:paraId="6FAB3306" w14:textId="63AFB351" w:rsidR="0064729B" w:rsidRPr="001F25C9" w:rsidRDefault="0064729B" w:rsidP="00E83DAC">
      <w:pPr>
        <w:pStyle w:val="Akapitzlist"/>
        <w:numPr>
          <w:ilvl w:val="1"/>
          <w:numId w:val="1"/>
        </w:numPr>
        <w:spacing w:after="0"/>
        <w:rPr>
          <w:rFonts w:ascii="Calibri" w:hAnsi="Calibri" w:cs="Calibri"/>
          <w:i/>
          <w:iCs/>
          <w:highlight w:val="yellow"/>
          <w:lang w:val="en-US"/>
        </w:rPr>
      </w:pPr>
      <w:r w:rsidRPr="001F25C9">
        <w:rPr>
          <w:rFonts w:ascii="Calibri" w:hAnsi="Calibri" w:cs="Calibri"/>
          <w:i/>
          <w:iCs/>
          <w:highlight w:val="yellow"/>
          <w:lang w:val="en-US"/>
        </w:rPr>
        <w:t>Share of</w:t>
      </w:r>
      <w:r w:rsidR="008268DE" w:rsidRPr="001F25C9">
        <w:rPr>
          <w:rFonts w:ascii="Calibri" w:hAnsi="Calibri" w:cs="Calibri"/>
          <w:i/>
          <w:iCs/>
          <w:highlight w:val="yellow"/>
          <w:lang w:val="en-US"/>
        </w:rPr>
        <w:t xml:space="preserve"> net</w:t>
      </w:r>
      <w:r w:rsidR="001F25C9">
        <w:rPr>
          <w:rFonts w:ascii="Calibri" w:hAnsi="Calibri" w:cs="Calibri"/>
          <w:i/>
          <w:iCs/>
          <w:highlight w:val="yellow"/>
          <w:lang w:val="en-US"/>
        </w:rPr>
        <w:t>-</w:t>
      </w:r>
      <w:r w:rsidRPr="001F25C9">
        <w:rPr>
          <w:rFonts w:ascii="Calibri" w:hAnsi="Calibri" w:cs="Calibri"/>
          <w:i/>
          <w:iCs/>
          <w:highlight w:val="yellow"/>
          <w:lang w:val="en-US"/>
        </w:rPr>
        <w:t>imported energy</w:t>
      </w:r>
      <w:r w:rsidR="00220B34" w:rsidRPr="001F25C9">
        <w:rPr>
          <w:rFonts w:ascii="Calibri" w:hAnsi="Calibri" w:cs="Calibri"/>
          <w:i/>
          <w:iCs/>
          <w:highlight w:val="yellow"/>
          <w:lang w:val="en-US"/>
        </w:rPr>
        <w:t xml:space="preserve"> – trade balance </w:t>
      </w:r>
      <w:r w:rsidR="00EF29EB" w:rsidRPr="001F25C9">
        <w:rPr>
          <w:rFonts w:ascii="Calibri" w:hAnsi="Calibri" w:cs="Calibri"/>
          <w:i/>
          <w:iCs/>
          <w:highlight w:val="yellow"/>
          <w:lang w:val="en-US"/>
        </w:rPr>
        <w:t>in energy quantities, as percentage of energy consumption</w:t>
      </w:r>
    </w:p>
    <w:p w14:paraId="13167D35" w14:textId="3B34ACE1" w:rsidR="0064729B" w:rsidRPr="00E83DAC" w:rsidRDefault="0064729B" w:rsidP="00E83DAC">
      <w:pPr>
        <w:pStyle w:val="Akapitzlist"/>
        <w:numPr>
          <w:ilvl w:val="1"/>
          <w:numId w:val="1"/>
        </w:numPr>
        <w:spacing w:after="0"/>
        <w:rPr>
          <w:rFonts w:ascii="Calibri" w:hAnsi="Calibri" w:cs="Calibri"/>
          <w:strike/>
          <w:lang w:val="en-US"/>
        </w:rPr>
      </w:pPr>
      <w:commentRangeStart w:id="9"/>
      <w:r w:rsidRPr="00E83DAC">
        <w:rPr>
          <w:rFonts w:ascii="Calibri" w:hAnsi="Calibri" w:cs="Calibri"/>
          <w:strike/>
          <w:lang w:val="en-US"/>
        </w:rPr>
        <w:t>Share of imported fossil fuels</w:t>
      </w:r>
      <w:commentRangeEnd w:id="9"/>
      <w:r w:rsidR="00220B34">
        <w:rPr>
          <w:rStyle w:val="Odwoaniedokomentarza"/>
        </w:rPr>
        <w:commentReference w:id="9"/>
      </w:r>
    </w:p>
    <w:p w14:paraId="49B73307" w14:textId="77777777" w:rsidR="008268DE" w:rsidRPr="00E83DAC" w:rsidRDefault="008268DE" w:rsidP="00E83DAC">
      <w:pPr>
        <w:pStyle w:val="Akapitzlist"/>
        <w:spacing w:after="0"/>
        <w:rPr>
          <w:rFonts w:ascii="Calibri" w:hAnsi="Calibri" w:cs="Calibri"/>
          <w:lang w:val="en-US"/>
        </w:rPr>
      </w:pPr>
    </w:p>
    <w:p w14:paraId="014F7D32" w14:textId="58B8EF0A" w:rsidR="0064729B" w:rsidRPr="00E83DAC" w:rsidRDefault="0064729B" w:rsidP="00E83DAC">
      <w:pPr>
        <w:pStyle w:val="Akapitzlist"/>
        <w:numPr>
          <w:ilvl w:val="0"/>
          <w:numId w:val="1"/>
        </w:numPr>
        <w:spacing w:after="0"/>
        <w:rPr>
          <w:rFonts w:ascii="Calibri" w:hAnsi="Calibri" w:cs="Calibri"/>
          <w:lang w:val="en-US"/>
        </w:rPr>
      </w:pPr>
      <w:r w:rsidRPr="00E83DAC">
        <w:rPr>
          <w:rFonts w:ascii="Calibri" w:hAnsi="Calibri" w:cs="Calibri"/>
          <w:lang w:val="en-US"/>
        </w:rPr>
        <w:t>Existing assets and labor (and their income requirements)</w:t>
      </w:r>
      <w:r w:rsidR="008268DE" w:rsidRPr="00E83DAC">
        <w:rPr>
          <w:rFonts w:ascii="Calibri" w:hAnsi="Calibri" w:cs="Calibri"/>
          <w:lang w:val="en-US"/>
        </w:rPr>
        <w:t>:</w:t>
      </w:r>
    </w:p>
    <w:p w14:paraId="7BCB2990" w14:textId="3FF0CA34" w:rsidR="0064729B" w:rsidRPr="00E83DAC" w:rsidRDefault="0064729B" w:rsidP="00E83DAC">
      <w:pPr>
        <w:pStyle w:val="Akapitzlist"/>
        <w:numPr>
          <w:ilvl w:val="1"/>
          <w:numId w:val="1"/>
        </w:numPr>
        <w:spacing w:after="0"/>
        <w:rPr>
          <w:rFonts w:ascii="Calibri" w:hAnsi="Calibri" w:cs="Calibri"/>
          <w:lang w:val="en-US"/>
        </w:rPr>
      </w:pPr>
      <w:r w:rsidRPr="00E83DAC">
        <w:rPr>
          <w:rFonts w:ascii="Calibri" w:hAnsi="Calibri" w:cs="Calibri"/>
          <w:lang w:val="en-US"/>
        </w:rPr>
        <w:t>Workers in</w:t>
      </w:r>
      <w:r w:rsidR="0037365D">
        <w:rPr>
          <w:rFonts w:ascii="Calibri" w:hAnsi="Calibri" w:cs="Calibri"/>
          <w:lang w:val="en-US"/>
        </w:rPr>
        <w:t xml:space="preserve"> fossil </w:t>
      </w:r>
      <w:commentRangeStart w:id="10"/>
      <w:r w:rsidR="0037365D">
        <w:rPr>
          <w:rFonts w:ascii="Calibri" w:hAnsi="Calibri" w:cs="Calibri"/>
          <w:lang w:val="en-US"/>
        </w:rPr>
        <w:t>extraction</w:t>
      </w:r>
      <w:commentRangeEnd w:id="10"/>
      <w:r w:rsidR="000B32CE">
        <w:rPr>
          <w:rStyle w:val="Odwoaniedokomentarza"/>
        </w:rPr>
        <w:commentReference w:id="10"/>
      </w:r>
      <w:r w:rsidR="003B726B">
        <w:rPr>
          <w:rFonts w:ascii="Calibri" w:hAnsi="Calibri" w:cs="Calibri"/>
          <w:lang w:val="en-US"/>
        </w:rPr>
        <w:t xml:space="preserve"> as % of total employment</w:t>
      </w:r>
    </w:p>
    <w:p w14:paraId="2BB62AC8" w14:textId="7F070892" w:rsidR="0064729B" w:rsidRDefault="0064729B" w:rsidP="00E83DAC">
      <w:pPr>
        <w:pStyle w:val="Akapitzlist"/>
        <w:numPr>
          <w:ilvl w:val="1"/>
          <w:numId w:val="1"/>
        </w:numPr>
        <w:spacing w:after="0"/>
        <w:rPr>
          <w:rFonts w:ascii="Calibri" w:hAnsi="Calibri" w:cs="Calibri"/>
          <w:lang w:val="en-US"/>
        </w:rPr>
      </w:pPr>
      <w:r w:rsidRPr="00E83DAC">
        <w:rPr>
          <w:rFonts w:ascii="Calibri" w:hAnsi="Calibri" w:cs="Calibri"/>
          <w:lang w:val="en-US"/>
        </w:rPr>
        <w:t xml:space="preserve">Workers in </w:t>
      </w:r>
      <w:r w:rsidR="0037365D">
        <w:rPr>
          <w:rFonts w:ascii="Calibri" w:hAnsi="Calibri" w:cs="Calibri"/>
          <w:lang w:val="en-US"/>
        </w:rPr>
        <w:t xml:space="preserve">carbon-intensive industries, as in: </w:t>
      </w:r>
      <w:commentRangeStart w:id="11"/>
      <w:r w:rsidR="0037365D">
        <w:rPr>
          <w:rFonts w:ascii="Calibri" w:hAnsi="Calibri" w:cs="Calibri"/>
          <w:lang w:val="en-US"/>
        </w:rPr>
        <w:fldChar w:fldCharType="begin"/>
      </w:r>
      <w:r w:rsidR="0037365D">
        <w:rPr>
          <w:rFonts w:ascii="Calibri" w:hAnsi="Calibri" w:cs="Calibri"/>
          <w:lang w:val="en-US"/>
        </w:rPr>
        <w:instrText>HYPERLINK "</w:instrText>
      </w:r>
      <w:r w:rsidR="0037365D" w:rsidRPr="0037365D">
        <w:rPr>
          <w:rFonts w:ascii="Calibri" w:hAnsi="Calibri" w:cs="Calibri"/>
          <w:lang w:val="en-US"/>
        </w:rPr>
        <w:instrText>https://cedelft.eu/wp-content/uploads/sites/2/2021/03/CE_Delft_180046_Carbon_intensities_energy_intensive_industries_DEF.pdf</w:instrText>
      </w:r>
      <w:r w:rsidR="0037365D">
        <w:rPr>
          <w:rFonts w:ascii="Calibri" w:hAnsi="Calibri" w:cs="Calibri"/>
          <w:lang w:val="en-US"/>
        </w:rPr>
        <w:instrText>"</w:instrText>
      </w:r>
      <w:r w:rsidR="0037365D">
        <w:rPr>
          <w:rFonts w:ascii="Calibri" w:hAnsi="Calibri" w:cs="Calibri"/>
          <w:lang w:val="en-US"/>
        </w:rPr>
        <w:fldChar w:fldCharType="separate"/>
      </w:r>
      <w:r w:rsidR="0037365D" w:rsidRPr="002235A1">
        <w:rPr>
          <w:rStyle w:val="Hipercze"/>
          <w:rFonts w:ascii="Calibri" w:hAnsi="Calibri" w:cs="Calibri"/>
          <w:lang w:val="en-US"/>
        </w:rPr>
        <w:t>https://cedelft.eu/wp-content/uploads/sites/2/2021/03/CE_Delft_180046_Carbon_intensities_energy_intensive_industries_DEF.pdf</w:t>
      </w:r>
      <w:r w:rsidR="0037365D">
        <w:rPr>
          <w:rFonts w:ascii="Calibri" w:hAnsi="Calibri" w:cs="Calibri"/>
          <w:lang w:val="en-US"/>
        </w:rPr>
        <w:fldChar w:fldCharType="end"/>
      </w:r>
      <w:commentRangeEnd w:id="11"/>
      <w:r w:rsidR="000B32CE">
        <w:rPr>
          <w:rStyle w:val="Odwoaniedokomentarza"/>
        </w:rPr>
        <w:commentReference w:id="11"/>
      </w:r>
      <w:r w:rsidR="0037365D">
        <w:rPr>
          <w:rFonts w:ascii="Calibri" w:hAnsi="Calibri" w:cs="Calibri"/>
          <w:lang w:val="en-US"/>
        </w:rPr>
        <w:t xml:space="preserve"> </w:t>
      </w:r>
    </w:p>
    <w:p w14:paraId="1C262F29" w14:textId="2285A09A" w:rsidR="000C29A1" w:rsidRDefault="000C29A1" w:rsidP="00E83DAC">
      <w:pPr>
        <w:pStyle w:val="Akapitzlist"/>
        <w:numPr>
          <w:ilvl w:val="1"/>
          <w:numId w:val="1"/>
        </w:numPr>
        <w:spacing w:after="0"/>
        <w:rPr>
          <w:rFonts w:ascii="Calibri" w:hAnsi="Calibri" w:cs="Calibri"/>
          <w:lang w:val="en-US"/>
        </w:rPr>
      </w:pPr>
      <w:r>
        <w:rPr>
          <w:rFonts w:ascii="Calibri" w:hAnsi="Calibri" w:cs="Calibri"/>
          <w:lang w:val="en-US"/>
        </w:rPr>
        <w:t>To s</w:t>
      </w:r>
      <w:r w:rsidR="001F25C9">
        <w:rPr>
          <w:rFonts w:ascii="Calibri" w:hAnsi="Calibri" w:cs="Calibri"/>
          <w:lang w:val="en-US"/>
        </w:rPr>
        <w:t>o</w:t>
      </w:r>
      <w:r>
        <w:rPr>
          <w:rFonts w:ascii="Calibri" w:hAnsi="Calibri" w:cs="Calibri"/>
          <w:lang w:val="en-US"/>
        </w:rPr>
        <w:t>me extent also</w:t>
      </w:r>
      <w:r w:rsidR="001F25C9">
        <w:rPr>
          <w:rFonts w:ascii="Calibri" w:hAnsi="Calibri" w:cs="Calibri"/>
          <w:lang w:val="en-US"/>
        </w:rPr>
        <w:t>:</w:t>
      </w:r>
      <w:r>
        <w:rPr>
          <w:rFonts w:ascii="Calibri" w:hAnsi="Calibri" w:cs="Calibri"/>
          <w:lang w:val="en-US"/>
        </w:rPr>
        <w:t xml:space="preserve"> fixed assets (or even better: equity) in brown </w:t>
      </w:r>
      <w:commentRangeStart w:id="12"/>
      <w:r>
        <w:rPr>
          <w:rFonts w:ascii="Calibri" w:hAnsi="Calibri" w:cs="Calibri"/>
          <w:lang w:val="en-US"/>
        </w:rPr>
        <w:t>industries</w:t>
      </w:r>
      <w:commentRangeEnd w:id="12"/>
      <w:r>
        <w:rPr>
          <w:rStyle w:val="Odwoaniedokomentarza"/>
        </w:rPr>
        <w:commentReference w:id="12"/>
      </w:r>
      <w:r>
        <w:rPr>
          <w:rFonts w:ascii="Calibri" w:hAnsi="Calibri" w:cs="Calibri"/>
          <w:lang w:val="en-US"/>
        </w:rPr>
        <w:t xml:space="preserve"> </w:t>
      </w:r>
    </w:p>
    <w:p w14:paraId="2ED56E3F" w14:textId="77777777" w:rsidR="008268DE" w:rsidRPr="00E83DAC" w:rsidRDefault="008268DE" w:rsidP="00E83DAC">
      <w:pPr>
        <w:pStyle w:val="Akapitzlist"/>
        <w:spacing w:after="0"/>
        <w:rPr>
          <w:rFonts w:ascii="Calibri" w:hAnsi="Calibri" w:cs="Calibri"/>
          <w:lang w:val="en-US"/>
        </w:rPr>
      </w:pPr>
    </w:p>
    <w:p w14:paraId="156C9527" w14:textId="0981C386" w:rsidR="0064729B" w:rsidRPr="00E83DAC" w:rsidRDefault="0064729B" w:rsidP="00E83DAC">
      <w:pPr>
        <w:pStyle w:val="Akapitzlist"/>
        <w:numPr>
          <w:ilvl w:val="0"/>
          <w:numId w:val="1"/>
        </w:numPr>
        <w:spacing w:after="0"/>
        <w:rPr>
          <w:rFonts w:ascii="Calibri" w:hAnsi="Calibri" w:cs="Calibri"/>
          <w:lang w:val="en-US"/>
        </w:rPr>
      </w:pPr>
      <w:r w:rsidRPr="00E83DAC">
        <w:rPr>
          <w:rFonts w:ascii="Calibri" w:hAnsi="Calibri" w:cs="Calibri"/>
          <w:lang w:val="en-US"/>
        </w:rPr>
        <w:t xml:space="preserve">Necessary infrastructure (machinery, appliances) </w:t>
      </w:r>
      <w:r w:rsidR="00F93353">
        <w:rPr>
          <w:rFonts w:ascii="Calibri" w:hAnsi="Calibri" w:cs="Calibri"/>
          <w:lang w:val="en-US"/>
        </w:rPr>
        <w:t>to introduce transition to</w:t>
      </w:r>
      <w:r w:rsidRPr="00E83DAC">
        <w:rPr>
          <w:rFonts w:ascii="Calibri" w:hAnsi="Calibri" w:cs="Calibri"/>
          <w:lang w:val="en-US"/>
        </w:rPr>
        <w:t xml:space="preserve"> renewable energy</w:t>
      </w:r>
      <w:r w:rsidR="00F93353">
        <w:rPr>
          <w:rFonts w:ascii="Calibri" w:hAnsi="Calibri" w:cs="Calibri"/>
          <w:lang w:val="en-US"/>
        </w:rPr>
        <w:t>:</w:t>
      </w:r>
    </w:p>
    <w:p w14:paraId="49774C0E" w14:textId="6BB102B7" w:rsidR="0064729B" w:rsidRDefault="0064729B" w:rsidP="00E83DAC">
      <w:pPr>
        <w:pStyle w:val="Akapitzlist"/>
        <w:numPr>
          <w:ilvl w:val="1"/>
          <w:numId w:val="1"/>
        </w:numPr>
        <w:spacing w:after="0"/>
        <w:rPr>
          <w:rFonts w:ascii="Calibri" w:hAnsi="Calibri" w:cs="Calibri"/>
          <w:lang w:val="en-US"/>
        </w:rPr>
      </w:pPr>
      <w:r w:rsidRPr="00E83DAC">
        <w:rPr>
          <w:rFonts w:ascii="Calibri" w:hAnsi="Calibri" w:cs="Calibri"/>
          <w:lang w:val="en-US"/>
        </w:rPr>
        <w:t>Capacity to produce and export such goods (or: need to import)</w:t>
      </w:r>
      <w:r w:rsidR="003B726B">
        <w:rPr>
          <w:rFonts w:ascii="Calibri" w:hAnsi="Calibri" w:cs="Calibri"/>
          <w:lang w:val="en-US"/>
        </w:rPr>
        <w:t xml:space="preserve"> –</w:t>
      </w:r>
      <w:r w:rsidR="00EC1249">
        <w:rPr>
          <w:rFonts w:ascii="Calibri" w:hAnsi="Calibri" w:cs="Calibri"/>
          <w:lang w:val="en-US"/>
        </w:rPr>
        <w:t xml:space="preserve"> employment and</w:t>
      </w:r>
      <w:r w:rsidR="003B726B">
        <w:rPr>
          <w:rFonts w:ascii="Calibri" w:hAnsi="Calibri" w:cs="Calibri"/>
          <w:lang w:val="en-US"/>
        </w:rPr>
        <w:t xml:space="preserve"> revealed comparative advantage in exports (</w:t>
      </w:r>
      <w:r w:rsidR="000A1CEF">
        <w:rPr>
          <w:rFonts w:ascii="Calibri" w:hAnsi="Calibri" w:cs="Calibri"/>
          <w:lang w:val="en-US"/>
        </w:rPr>
        <w:t>or better: in net exports</w:t>
      </w:r>
      <w:r w:rsidR="00EC1249">
        <w:rPr>
          <w:rFonts w:ascii="Calibri" w:hAnsi="Calibri" w:cs="Calibri"/>
          <w:lang w:val="en-US"/>
        </w:rPr>
        <w:t>) of:</w:t>
      </w:r>
    </w:p>
    <w:p w14:paraId="279EC096" w14:textId="2AE3AB55" w:rsidR="000A1CEF" w:rsidRDefault="000A1CEF" w:rsidP="000A1CEF">
      <w:pPr>
        <w:pStyle w:val="Akapitzlist"/>
        <w:numPr>
          <w:ilvl w:val="2"/>
          <w:numId w:val="1"/>
        </w:numPr>
        <w:spacing w:after="0"/>
        <w:rPr>
          <w:rFonts w:ascii="Calibri" w:hAnsi="Calibri" w:cs="Calibri"/>
          <w:lang w:val="en-US"/>
        </w:rPr>
      </w:pPr>
      <w:r>
        <w:rPr>
          <w:rFonts w:ascii="Calibri" w:hAnsi="Calibri" w:cs="Calibri"/>
          <w:lang w:val="en-US"/>
        </w:rPr>
        <w:t>Narrow: renewable energy goods</w:t>
      </w:r>
    </w:p>
    <w:p w14:paraId="12F810B7" w14:textId="6470F5B5" w:rsidR="000A1CEF" w:rsidRPr="00E83DAC" w:rsidRDefault="000A1CEF" w:rsidP="000A1CEF">
      <w:pPr>
        <w:pStyle w:val="Akapitzlist"/>
        <w:numPr>
          <w:ilvl w:val="2"/>
          <w:numId w:val="1"/>
        </w:numPr>
        <w:spacing w:after="0"/>
        <w:rPr>
          <w:rFonts w:ascii="Calibri" w:hAnsi="Calibri" w:cs="Calibri"/>
          <w:lang w:val="en-US"/>
        </w:rPr>
      </w:pPr>
      <w:r>
        <w:rPr>
          <w:rFonts w:ascii="Calibri" w:hAnsi="Calibri" w:cs="Calibri"/>
          <w:lang w:val="en-US"/>
        </w:rPr>
        <w:t xml:space="preserve">Broad: </w:t>
      </w:r>
      <w:r w:rsidR="00DF3DF8">
        <w:rPr>
          <w:rFonts w:ascii="Calibri" w:hAnsi="Calibri" w:cs="Calibri"/>
          <w:lang w:val="en-US"/>
        </w:rPr>
        <w:t>green goods</w:t>
      </w:r>
      <w:r w:rsidR="00F93353">
        <w:rPr>
          <w:rFonts w:ascii="Calibri" w:hAnsi="Calibri" w:cs="Calibri"/>
          <w:lang w:val="en-US"/>
        </w:rPr>
        <w:t xml:space="preserve"> (also: circular economy, </w:t>
      </w:r>
      <w:r w:rsidR="00F74049">
        <w:rPr>
          <w:rFonts w:ascii="Calibri" w:hAnsi="Calibri" w:cs="Calibri"/>
          <w:lang w:val="en-US"/>
        </w:rPr>
        <w:t>electric mobility etc.).</w:t>
      </w:r>
    </w:p>
    <w:p w14:paraId="2414A13F" w14:textId="43AC5C23" w:rsidR="0064729B" w:rsidRPr="00E83DAC" w:rsidRDefault="0064729B" w:rsidP="00E83DAC">
      <w:pPr>
        <w:pStyle w:val="Akapitzlist"/>
        <w:numPr>
          <w:ilvl w:val="1"/>
          <w:numId w:val="1"/>
        </w:numPr>
        <w:spacing w:after="0"/>
        <w:rPr>
          <w:rFonts w:ascii="Calibri" w:hAnsi="Calibri" w:cs="Calibri"/>
          <w:lang w:val="en-US"/>
        </w:rPr>
      </w:pPr>
      <w:r w:rsidRPr="00E83DAC">
        <w:rPr>
          <w:rFonts w:ascii="Calibri" w:hAnsi="Calibri" w:cs="Calibri"/>
          <w:lang w:val="en-US"/>
        </w:rPr>
        <w:t>Technological capacity (patents)</w:t>
      </w:r>
      <w:r w:rsidR="000A1CEF">
        <w:rPr>
          <w:rFonts w:ascii="Calibri" w:hAnsi="Calibri" w:cs="Calibri"/>
          <w:lang w:val="en-US"/>
        </w:rPr>
        <w:t xml:space="preserve"> – green patents per capita.</w:t>
      </w:r>
    </w:p>
    <w:p w14:paraId="697EEC06" w14:textId="77777777" w:rsidR="008268DE" w:rsidRPr="00F74049" w:rsidRDefault="008268DE" w:rsidP="00F74049">
      <w:pPr>
        <w:spacing w:after="0"/>
        <w:rPr>
          <w:rFonts w:ascii="Calibri" w:hAnsi="Calibri" w:cs="Calibri"/>
          <w:lang w:val="en-US"/>
        </w:rPr>
      </w:pPr>
    </w:p>
    <w:p w14:paraId="57D8AD03" w14:textId="750AE10F" w:rsidR="0064729B" w:rsidRPr="00E83DAC" w:rsidRDefault="0064729B" w:rsidP="00E83DAC">
      <w:pPr>
        <w:pStyle w:val="Akapitzlist"/>
        <w:numPr>
          <w:ilvl w:val="0"/>
          <w:numId w:val="1"/>
        </w:numPr>
        <w:spacing w:after="0"/>
        <w:rPr>
          <w:rFonts w:ascii="Calibri" w:hAnsi="Calibri" w:cs="Calibri"/>
          <w:lang w:val="en-US"/>
        </w:rPr>
      </w:pPr>
      <w:r w:rsidRPr="00E83DAC">
        <w:rPr>
          <w:rFonts w:ascii="Calibri" w:hAnsi="Calibri" w:cs="Calibri"/>
          <w:lang w:val="en-US"/>
        </w:rPr>
        <w:t>Broader view –</w:t>
      </w:r>
      <w:r w:rsidR="00F74049">
        <w:rPr>
          <w:rFonts w:ascii="Calibri" w:hAnsi="Calibri" w:cs="Calibri"/>
          <w:lang w:val="en-US"/>
        </w:rPr>
        <w:t xml:space="preserve"> </w:t>
      </w:r>
      <w:r w:rsidRPr="00E83DAC">
        <w:rPr>
          <w:rFonts w:ascii="Calibri" w:hAnsi="Calibri" w:cs="Calibri"/>
          <w:lang w:val="en-US"/>
        </w:rPr>
        <w:t>potential adjustments</w:t>
      </w:r>
      <w:r w:rsidR="008268DE" w:rsidRPr="00E83DAC">
        <w:rPr>
          <w:rFonts w:ascii="Calibri" w:hAnsi="Calibri" w:cs="Calibri"/>
          <w:lang w:val="en-US"/>
        </w:rPr>
        <w:t xml:space="preserve"> in the sphere of production and trade (capacity to “purchase the transition” by means of country’s </w:t>
      </w:r>
      <w:commentRangeStart w:id="13"/>
      <w:r w:rsidR="008268DE" w:rsidRPr="00E83DAC">
        <w:rPr>
          <w:rFonts w:ascii="Calibri" w:hAnsi="Calibri" w:cs="Calibri"/>
          <w:lang w:val="en-US"/>
        </w:rPr>
        <w:t>exports</w:t>
      </w:r>
      <w:commentRangeEnd w:id="13"/>
      <w:r w:rsidR="00F8119E">
        <w:rPr>
          <w:rStyle w:val="Odwoaniedokomentarza"/>
        </w:rPr>
        <w:commentReference w:id="13"/>
      </w:r>
      <w:r w:rsidR="008268DE" w:rsidRPr="00E83DAC">
        <w:rPr>
          <w:rFonts w:ascii="Calibri" w:hAnsi="Calibri" w:cs="Calibri"/>
          <w:lang w:val="en-US"/>
        </w:rPr>
        <w:t>)</w:t>
      </w:r>
    </w:p>
    <w:p w14:paraId="707E4745" w14:textId="40D1AC0F" w:rsidR="0064729B" w:rsidRPr="00E83DAC" w:rsidRDefault="0064729B" w:rsidP="00E83DAC">
      <w:pPr>
        <w:pStyle w:val="Akapitzlist"/>
        <w:numPr>
          <w:ilvl w:val="1"/>
          <w:numId w:val="1"/>
        </w:numPr>
        <w:spacing w:after="0"/>
        <w:rPr>
          <w:rFonts w:ascii="Calibri" w:hAnsi="Calibri" w:cs="Calibri"/>
          <w:i/>
          <w:iCs/>
          <w:lang w:val="en-US"/>
        </w:rPr>
      </w:pPr>
      <w:r w:rsidRPr="00E83DAC">
        <w:rPr>
          <w:rFonts w:ascii="Calibri" w:hAnsi="Calibri" w:cs="Calibri"/>
          <w:i/>
          <w:iCs/>
          <w:lang w:val="en-US"/>
        </w:rPr>
        <w:t>Average productivity</w:t>
      </w:r>
      <w:r w:rsidR="008268DE" w:rsidRPr="00E83DAC">
        <w:rPr>
          <w:rFonts w:ascii="Calibri" w:hAnsi="Calibri" w:cs="Calibri"/>
          <w:i/>
          <w:iCs/>
          <w:lang w:val="en-US"/>
        </w:rPr>
        <w:t xml:space="preserve"> (GDP per capita ppp)</w:t>
      </w:r>
    </w:p>
    <w:p w14:paraId="2857DB62" w14:textId="2A4C6DE2" w:rsidR="008268DE" w:rsidRPr="00E83DAC" w:rsidRDefault="0064729B" w:rsidP="00E83DAC">
      <w:pPr>
        <w:pStyle w:val="Akapitzlist"/>
        <w:numPr>
          <w:ilvl w:val="1"/>
          <w:numId w:val="1"/>
        </w:numPr>
        <w:spacing w:after="0"/>
        <w:rPr>
          <w:rFonts w:ascii="Calibri" w:hAnsi="Calibri" w:cs="Calibri"/>
          <w:i/>
          <w:iCs/>
          <w:lang w:val="en-US"/>
        </w:rPr>
      </w:pPr>
      <w:r w:rsidRPr="00E83DAC">
        <w:rPr>
          <w:rFonts w:ascii="Calibri" w:hAnsi="Calibri" w:cs="Calibri"/>
          <w:i/>
          <w:iCs/>
          <w:lang w:val="en-US"/>
        </w:rPr>
        <w:t>Position in I</w:t>
      </w:r>
      <w:r w:rsidR="00F8119E">
        <w:rPr>
          <w:rFonts w:ascii="Calibri" w:hAnsi="Calibri" w:cs="Calibri"/>
          <w:i/>
          <w:iCs/>
          <w:lang w:val="en-US"/>
        </w:rPr>
        <w:t>nternational Division of Labor</w:t>
      </w:r>
    </w:p>
    <w:p w14:paraId="168F5105" w14:textId="5DBD1704" w:rsidR="0064729B" w:rsidRPr="00E83DAC" w:rsidRDefault="008268DE" w:rsidP="00E83DAC">
      <w:pPr>
        <w:pStyle w:val="Akapitzlist"/>
        <w:numPr>
          <w:ilvl w:val="2"/>
          <w:numId w:val="1"/>
        </w:numPr>
        <w:spacing w:after="0"/>
        <w:rPr>
          <w:rFonts w:ascii="Calibri" w:hAnsi="Calibri" w:cs="Calibri"/>
          <w:i/>
          <w:iCs/>
          <w:lang w:val="en-US"/>
        </w:rPr>
      </w:pPr>
      <w:r w:rsidRPr="00E83DAC">
        <w:rPr>
          <w:rFonts w:ascii="Calibri" w:hAnsi="Calibri" w:cs="Calibri"/>
          <w:i/>
          <w:iCs/>
          <w:lang w:val="en-US"/>
        </w:rPr>
        <w:t>Real effective exchange rate</w:t>
      </w:r>
    </w:p>
    <w:p w14:paraId="0BFF40CA" w14:textId="1FE9634F" w:rsidR="008268DE" w:rsidRDefault="008268DE" w:rsidP="00E83DAC">
      <w:pPr>
        <w:pStyle w:val="Akapitzlist"/>
        <w:numPr>
          <w:ilvl w:val="2"/>
          <w:numId w:val="1"/>
        </w:numPr>
        <w:spacing w:after="0"/>
        <w:rPr>
          <w:rFonts w:ascii="Calibri" w:hAnsi="Calibri" w:cs="Calibri"/>
          <w:i/>
          <w:iCs/>
          <w:lang w:val="en-US"/>
        </w:rPr>
      </w:pPr>
      <w:r w:rsidRPr="00E83DAC">
        <w:rPr>
          <w:rFonts w:ascii="Calibri" w:hAnsi="Calibri" w:cs="Calibri"/>
          <w:i/>
          <w:iCs/>
          <w:lang w:val="en-US"/>
        </w:rPr>
        <w:t>Technology advantages</w:t>
      </w:r>
      <w:r w:rsidR="00F8119E">
        <w:rPr>
          <w:rFonts w:ascii="Calibri" w:hAnsi="Calibri" w:cs="Calibri"/>
          <w:i/>
          <w:iCs/>
          <w:lang w:val="en-US"/>
        </w:rPr>
        <w:t xml:space="preserve"> (economy-wide)</w:t>
      </w:r>
    </w:p>
    <w:p w14:paraId="29BD0865" w14:textId="59EC580E" w:rsidR="008268DE" w:rsidRPr="00F74049" w:rsidRDefault="00F8119E" w:rsidP="00F74049">
      <w:pPr>
        <w:pStyle w:val="Akapitzlist"/>
        <w:numPr>
          <w:ilvl w:val="2"/>
          <w:numId w:val="1"/>
        </w:numPr>
        <w:spacing w:after="0"/>
        <w:rPr>
          <w:rFonts w:ascii="Calibri" w:hAnsi="Calibri" w:cs="Calibri"/>
          <w:i/>
          <w:iCs/>
          <w:lang w:val="en-US"/>
        </w:rPr>
      </w:pPr>
      <w:r>
        <w:rPr>
          <w:rFonts w:ascii="Calibri" w:hAnsi="Calibri" w:cs="Calibri"/>
          <w:i/>
          <w:iCs/>
          <w:lang w:val="en-US"/>
        </w:rPr>
        <w:t>Economic-complexity index</w:t>
      </w:r>
    </w:p>
    <w:sectPr w:rsidR="008268DE" w:rsidRPr="00F7404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ciej Grodzicki" w:date="2024-07-24T15:31:00Z" w:initials="MG">
    <w:p w14:paraId="1EF6EE9A" w14:textId="77777777" w:rsidR="00BB0409" w:rsidRDefault="00BB0409" w:rsidP="00BB0409">
      <w:pPr>
        <w:pStyle w:val="Tekstkomentarza"/>
      </w:pPr>
      <w:r>
        <w:rPr>
          <w:rStyle w:val="Odwoaniedokomentarza"/>
        </w:rPr>
        <w:annotationRef/>
      </w:r>
      <w:r>
        <w:t>NECPs assessment:</w:t>
      </w:r>
    </w:p>
    <w:p w14:paraId="022C5B3F" w14:textId="77777777" w:rsidR="00BB0409" w:rsidRDefault="00BB0409" w:rsidP="00BB0409">
      <w:pPr>
        <w:pStyle w:val="Tekstkomentarza"/>
      </w:pPr>
    </w:p>
    <w:p w14:paraId="0490C492" w14:textId="77777777" w:rsidR="00BB0409" w:rsidRDefault="00BB0409" w:rsidP="00BB0409">
      <w:pPr>
        <w:pStyle w:val="Tekstkomentarza"/>
      </w:pPr>
      <w:r>
        <w:rPr>
          <w:lang w:val="en-US"/>
        </w:rPr>
        <w:t>The NECPs provide key information on how Member States aim to achieve their national emissions reduction targets set in the Effort Sharing Regulation (ESR)33. Currently, these targets range from 0 to -40% in 2030 compared to 2005 to achieve EU-wide minimum reductions in sectors not covered by the EU Emission Trading System (ETS)34 of 30% compared to 200535. Compared to their current ESR targets, Luxembourg, Slovakia, Slovenia and Sweden have set more ambitious national targets in the sectors not covered by the EU ETS. Also many other Member States project that the implementation of their policies and measures planned in the NECPs reduces emissions beyond their ESR binding targets3 The assessment of the NECPs shows that for the economy-wide greenhouse gas emissions reductions, including those covered by the EU ETS, emissions reduce under existing and planned measures by 41% below 1990 levels, surpassing the EU 40% reduction target38. This is an improvement of about 1.5 percentage points compared to the draft EU NECPs</w:t>
      </w:r>
    </w:p>
  </w:comment>
  <w:comment w:id="1" w:author="Maciej Grodzicki" w:date="2024-07-24T15:13:00Z" w:initials="MG">
    <w:p w14:paraId="040777B7" w14:textId="14F62329" w:rsidR="004011A3" w:rsidRDefault="004011A3" w:rsidP="004011A3">
      <w:pPr>
        <w:pStyle w:val="Tekstkomentarza"/>
      </w:pPr>
      <w:r>
        <w:rPr>
          <w:rStyle w:val="Odwoaniedokomentarza"/>
        </w:rPr>
        <w:annotationRef/>
      </w:r>
      <w:r>
        <w:t>NECP Assessment:</w:t>
      </w:r>
    </w:p>
    <w:p w14:paraId="2D885916" w14:textId="77777777" w:rsidR="004011A3" w:rsidRDefault="004011A3" w:rsidP="004011A3">
      <w:pPr>
        <w:pStyle w:val="Tekstkomentarza"/>
      </w:pPr>
    </w:p>
    <w:p w14:paraId="62CE5DE8" w14:textId="77777777" w:rsidR="004011A3" w:rsidRDefault="004011A3" w:rsidP="004011A3">
      <w:pPr>
        <w:pStyle w:val="Tekstkomentarza"/>
      </w:pPr>
      <w:r>
        <w:rPr>
          <w:lang w:val="en-US"/>
        </w:rPr>
        <w:t>The assessment of the final plans shows that the energy efficiency aggregated ambition would amount to a reduction of 29.7% for primary energy consumption and 29.4% for final energy consumption21, reaching 1176 Mtoe and 885 Mtoe respectively in 2030. This means that the collective ambition for 2030 has been increased compared to the conservative scenario from the draft plans22, thanks to several Member States increasing their planned efforts and clarifying points. However, there remains a gap compared to the Union’s 2030 target of at least 32.5%, which still stands at 2.8 percentage points for primary energy consumption and at 3.1 percentage points for final energy consumption</w:t>
      </w:r>
    </w:p>
    <w:p w14:paraId="057909B5" w14:textId="77777777" w:rsidR="004011A3" w:rsidRDefault="004011A3" w:rsidP="004011A3">
      <w:pPr>
        <w:pStyle w:val="Tekstkomentarza"/>
      </w:pPr>
      <w:r>
        <w:rPr>
          <w:b/>
          <w:bCs/>
          <w:lang w:val="en-US"/>
        </w:rPr>
        <w:t>The Energy Union has recognised a prominent role of energy efficiency and enshrined the guiding “Energy Efficiency First” principle into legislation24. Still, most final NECPs only set out limited details on the application of this principle</w:t>
      </w:r>
    </w:p>
  </w:comment>
  <w:comment w:id="2" w:author="Maciej Grodzicki" w:date="2024-07-24T15:15:00Z" w:initials="MG">
    <w:p w14:paraId="0C705A64" w14:textId="77777777" w:rsidR="00AA5BB2" w:rsidRDefault="00AA5BB2" w:rsidP="00AA5BB2">
      <w:pPr>
        <w:pStyle w:val="Tekstkomentarza"/>
      </w:pPr>
      <w:r>
        <w:rPr>
          <w:rStyle w:val="Odwoaniedokomentarza"/>
        </w:rPr>
        <w:annotationRef/>
      </w:r>
      <w:r>
        <w:rPr>
          <w:lang w:val="en-US"/>
        </w:rPr>
        <w:t>Investments in renewables create jobs. In the EU almost 1.5 million people were employed in the renewables sector in 2018, including the indirect jobs in the value chain.</w:t>
      </w:r>
    </w:p>
    <w:p w14:paraId="4D487463" w14:textId="77777777" w:rsidR="00AA5BB2" w:rsidRDefault="00AA5BB2" w:rsidP="00AA5BB2">
      <w:pPr>
        <w:pStyle w:val="Tekstkomentarza"/>
      </w:pPr>
      <w:r>
        <w:rPr>
          <w:lang w:val="en-US"/>
        </w:rPr>
        <w:t>The European renewables industry is well positioned for global leadership. Its gross value added amounted to €80 billion in 2018 (growing at 6-8% annually). The EU is strong in developing the technologies necessary for renewables (e.g. offshore renewables), including a rich ecosystem of SMEs. Renewables may also provide replacement employment in eligible Just Transition regions and generally in a decentralised manner also opportunities for remote areas and islands. Thanks to huge cost reductions, the cost-competitiveness gap of renewables is closing rapidly in the EU and mature renewables are now cost competitive and bring down energy prices for European consumers</w:t>
      </w:r>
    </w:p>
  </w:comment>
  <w:comment w:id="3" w:author="Maciej Grodzicki" w:date="2024-07-24T15:32:00Z" w:initials="MG">
    <w:p w14:paraId="09D9E5D1" w14:textId="77777777" w:rsidR="00E4133E" w:rsidRDefault="00E4133E" w:rsidP="00E4133E">
      <w:pPr>
        <w:pStyle w:val="Tekstkomentarza"/>
      </w:pPr>
      <w:r>
        <w:rPr>
          <w:rStyle w:val="Odwoaniedokomentarza"/>
        </w:rPr>
        <w:annotationRef/>
      </w:r>
      <w:r>
        <w:rPr>
          <w:lang w:val="en-US"/>
        </w:rPr>
        <w:t xml:space="preserve"> Just transition</w:t>
      </w:r>
    </w:p>
    <w:p w14:paraId="075229D1" w14:textId="77777777" w:rsidR="00E4133E" w:rsidRDefault="00E4133E" w:rsidP="00E4133E">
      <w:pPr>
        <w:pStyle w:val="Tekstkomentarza"/>
      </w:pPr>
      <w:r>
        <w:rPr>
          <w:lang w:val="en-US"/>
        </w:rPr>
        <w:t>The NECPs also address the social and territorial implications that the clean energy transition can have. The transformation of extractive industries (hard coal, lignite, peat or oil shale) and carbon-intensive industries (cement, steel, aluminium, fertiliser or paper production) will pose a significant challenge to territories that are strongly reliant on such activities and will require to restructure and/or diversify the economy, maintain social cohesion, and, (re)train the affected workers and youth to prepare them for future jobs. Many NECPs include this transition in the coal sector and its social and economic impacts. The NECPs show that the transition has further accelerated due to global changes in prices of fossil fuels and falling costs of renewable energies. Europe is phasing out coal sooner than initially expected, which helps reduce greenhouse gas emissions and air pollution (the latter often being the main driver at local level for such a move, based on health and well-being concerns). This requires adequate measures to accompany regions and ensure no one is left behind.</w:t>
      </w:r>
    </w:p>
    <w:p w14:paraId="761AF4D0" w14:textId="77777777" w:rsidR="00E4133E" w:rsidRDefault="00E4133E" w:rsidP="00E4133E">
      <w:pPr>
        <w:pStyle w:val="Tekstkomentarza"/>
      </w:pPr>
      <w:r>
        <w:rPr>
          <w:lang w:val="en-US"/>
        </w:rPr>
        <w:t>A total of 21 Member States are either already coal-free (Estonia, Latvia, Lithuania, Belgium, Malta, Luxembourg, Cyprus)48, or have committed to phasing-out coal (including lignite and peat), indicating specific dates in their NECPs (see above chart). Two Member States (Slovenia, Czechia) are still considering coal phase out while four (Poland, Romania, Bulgaria, Croatia) have not planned any phase out yet</w:t>
      </w:r>
    </w:p>
    <w:p w14:paraId="032ED11E" w14:textId="77777777" w:rsidR="00E4133E" w:rsidRDefault="00E4133E" w:rsidP="00E4133E">
      <w:pPr>
        <w:pStyle w:val="Tekstkomentarza"/>
      </w:pPr>
      <w:r>
        <w:rPr>
          <w:lang w:val="en-US"/>
        </w:rPr>
        <w:t>Coal regions in transition is an EU initiative to help address challenges and opportunities in those areas49. The Commission supports regional and local level involvement in ‘just transition’ related initiatives, which are a driving force for Coal Regions in Transition. The Commission assists regions in building cross-regional consortia, identifying transition-related projects and matching projects with funding opportunities, including under EU funding programmes50 51.</w:t>
      </w:r>
    </w:p>
    <w:p w14:paraId="2DB6DFEA" w14:textId="77777777" w:rsidR="00E4133E" w:rsidRDefault="00E4133E" w:rsidP="00E4133E">
      <w:pPr>
        <w:pStyle w:val="Tekstkomentarza"/>
      </w:pPr>
      <w:r>
        <w:rPr>
          <w:lang w:val="en-US"/>
        </w:rPr>
        <w:t>49 All coal, peat and oil shale regions (DE, PL, CZ, BG, RO, ES, EL, IE, HU, SK) are supported via EU funds (Cohesion policy, LIFE, H2020). Support also comes in the form of technical assistance (Structural Reform Support Programme, the EIB-Commission support through Jaspers, ENER’s START programme and contract with the World Bank).</w:t>
      </w:r>
    </w:p>
  </w:comment>
  <w:comment w:id="4" w:author="Maciej Grodzicki" w:date="2024-07-24T15:33:00Z" w:initials="MG">
    <w:p w14:paraId="3CFBB0FA" w14:textId="77777777" w:rsidR="001B21B3" w:rsidRDefault="001B21B3" w:rsidP="001B21B3">
      <w:pPr>
        <w:pStyle w:val="Tekstkomentarza"/>
      </w:pPr>
      <w:r>
        <w:rPr>
          <w:rStyle w:val="Odwoaniedokomentarza"/>
        </w:rPr>
        <w:annotationRef/>
      </w:r>
      <w:r>
        <w:rPr>
          <w:lang w:val="en-US"/>
        </w:rPr>
        <w:t xml:space="preserve">There final NECPs fail to pay sufficient attention to R&amp;I needs for delivering on climate and energy objectives. There is an overall decrease in national budgets devoted to R&amp;I in clean energy technologies and a severe lack of national objectives and funding targets that show concrete and relevant pathways to 2030 and 2050. Most of the plans also outline only funding of existing non-energy specific programmes that run for fewer than five years. </w:t>
      </w:r>
    </w:p>
    <w:p w14:paraId="6088B3B3" w14:textId="77777777" w:rsidR="001B21B3" w:rsidRDefault="001B21B3" w:rsidP="001B21B3">
      <w:pPr>
        <w:pStyle w:val="Tekstkomentarza"/>
      </w:pPr>
      <w:r>
        <w:rPr>
          <w:lang w:val="en-US"/>
        </w:rPr>
        <w:t xml:space="preserve">A new strategic approach to clean energy R&amp;I and competitiveness is needed to rebuild the European economy and accelerate the innovation and market uptake of new technologies and innovation for climate neutrality. Both EU and national R&amp;I policies as well as funding and national industrial strategies need to be better aligned with energy and climate objectives and be made operational through NECPs </w:t>
      </w:r>
    </w:p>
  </w:comment>
  <w:comment w:id="5" w:author="Maciej Grodzicki" w:date="2024-07-24T15:33:00Z" w:initials="MG">
    <w:p w14:paraId="58D5C22C" w14:textId="77777777" w:rsidR="00185B10" w:rsidRDefault="00185B10" w:rsidP="00185B10">
      <w:pPr>
        <w:pStyle w:val="Tekstkomentarza"/>
      </w:pPr>
      <w:r>
        <w:rPr>
          <w:rStyle w:val="Odwoaniedokomentarza"/>
        </w:rPr>
        <w:annotationRef/>
      </w:r>
      <w:r>
        <w:rPr>
          <w:lang w:val="en-US"/>
        </w:rPr>
        <w:t>All Member States should strengthen the link between National Air Pollution Control Programmes (NAPCPs) and NECPs, also in terms of implementation at local level70. This will improve the process of identifying synergies and avoiding or mitigating trade-offs, while promoting synergetic measures (e.g. clean transport, increased share of non-combustible renewables).</w:t>
      </w:r>
    </w:p>
    <w:p w14:paraId="0DFCF80A" w14:textId="77777777" w:rsidR="00185B10" w:rsidRDefault="00185B10" w:rsidP="00185B10">
      <w:pPr>
        <w:pStyle w:val="Tekstkomentarza"/>
      </w:pPr>
      <w:r>
        <w:rPr>
          <w:lang w:val="en-US"/>
        </w:rPr>
        <w:t>In most NECPs, further work is needed to integrate and quantify greenhouse gas emissions reductions associated to circular economy policies, and assess the synergies and trade-offs of specific policies with biodiversity (e.g. role of ecosystem services for mitigation and adaptation, but also risks in terms of biodiversity loss)</w:t>
      </w:r>
    </w:p>
  </w:comment>
  <w:comment w:id="6" w:author="Maciej Grodzicki" w:date="2024-07-24T15:05:00Z" w:initials="MG">
    <w:p w14:paraId="61DE18B9" w14:textId="242E3703" w:rsidR="006C0F35" w:rsidRDefault="006C0F35" w:rsidP="006C0F35">
      <w:pPr>
        <w:pStyle w:val="Tekstkomentarza"/>
      </w:pPr>
      <w:r>
        <w:rPr>
          <w:rStyle w:val="Odwoaniedokomentarza"/>
        </w:rPr>
        <w:annotationRef/>
      </w:r>
      <w:r>
        <w:t xml:space="preserve">Energy is also at the heart of other parts of the package of proposals presented today. Adjusting the minimum levels of taxation to the carbon content of energy carriers, as proposed in the revision of the Energy Taxation Directive will make cleaner fuels financially more attractive and will further incentivise the switch to renewables (see </w:t>
      </w:r>
      <w:hyperlink r:id="rId1" w:history="1">
        <w:r w:rsidRPr="003A056F">
          <w:rPr>
            <w:rStyle w:val="Hipercze"/>
          </w:rPr>
          <w:t>Memo</w:t>
        </w:r>
      </w:hyperlink>
      <w:r>
        <w:t xml:space="preserve">). Similarly, the strengthened EU Emissions Trading System for industry and power generation and the new emissions trading for transport and for fuels used in buildings will provide a strong price signal to reduce energy use and increase the share of renewable energy in electricity production, industry and transport (see </w:t>
      </w:r>
      <w:hyperlink r:id="rId2" w:history="1">
        <w:r w:rsidRPr="003A056F">
          <w:rPr>
            <w:rStyle w:val="Hipercze"/>
          </w:rPr>
          <w:t>Memo</w:t>
        </w:r>
      </w:hyperlink>
      <w:r>
        <w:t xml:space="preserve">). The Carbon Border Adjustment Mechanism will ensure that carbon leakage in electricity and industry is addressed in a way that incentivises and rewards ambitious climate and energy policies (see </w:t>
      </w:r>
      <w:hyperlink r:id="rId3" w:history="1">
        <w:r w:rsidRPr="003A056F">
          <w:rPr>
            <w:rStyle w:val="Hipercze"/>
          </w:rPr>
          <w:t>Memo</w:t>
        </w:r>
      </w:hyperlink>
      <w:r>
        <w:t xml:space="preserve">). The Alternative Fuels Infrastructure Regulation, CO2 emissions standards for cars and vans, and the initiatives for sustainable aviation and maritime fuels are also closely intertwined with energy policy (see </w:t>
      </w:r>
      <w:hyperlink r:id="rId4" w:history="1">
        <w:r w:rsidRPr="003A056F">
          <w:rPr>
            <w:rStyle w:val="Hipercze"/>
          </w:rPr>
          <w:t>Memo</w:t>
        </w:r>
      </w:hyperlink>
      <w:r>
        <w:t>). By the end of the year, the Commission will also propose to revise the Energy Performance of Buildings Directive, and lay out concrete measures to decarbonise gas and support the emerging hydrogen market, and to reduce methane emissions.</w:t>
      </w:r>
    </w:p>
  </w:comment>
  <w:comment w:id="7" w:author="Maciej Grodzicki" w:date="2024-07-24T15:40:00Z" w:initials="MG">
    <w:p w14:paraId="04032D6F" w14:textId="77777777" w:rsidR="00F763AB" w:rsidRDefault="00F763AB" w:rsidP="00F763AB">
      <w:pPr>
        <w:pStyle w:val="Tekstkomentarza"/>
      </w:pPr>
      <w:r>
        <w:rPr>
          <w:rStyle w:val="Odwoaniedokomentarza"/>
        </w:rPr>
        <w:annotationRef/>
      </w:r>
      <w:r>
        <w:t>As the most general variable, spanning also transport, land use or heating - not only energy and industry</w:t>
      </w:r>
    </w:p>
  </w:comment>
  <w:comment w:id="8" w:author="Maciej Grodzicki" w:date="2024-07-24T15:35:00Z" w:initials="MG">
    <w:p w14:paraId="61F49D72" w14:textId="77777777" w:rsidR="00520B72" w:rsidRDefault="00520B72" w:rsidP="00520B72">
      <w:pPr>
        <w:pStyle w:val="Tekstkomentarza"/>
      </w:pPr>
      <w:r>
        <w:rPr>
          <w:rStyle w:val="Odwoaniedokomentarza"/>
        </w:rPr>
        <w:annotationRef/>
      </w:r>
      <w:r>
        <w:t xml:space="preserve">e.g. </w:t>
      </w:r>
      <w:hyperlink r:id="rId5" w:history="1">
        <w:r w:rsidRPr="00BC088F">
          <w:rPr>
            <w:rStyle w:val="Hipercze"/>
          </w:rPr>
          <w:t>https://flex-power.energy/energyblog/energy-weather-index-price-solar-wind/</w:t>
        </w:r>
      </w:hyperlink>
      <w:r>
        <w:t xml:space="preserve"> </w:t>
      </w:r>
    </w:p>
  </w:comment>
  <w:comment w:id="9" w:author="Maciej Grodzicki" w:date="2024-07-24T15:45:00Z" w:initials="MG">
    <w:p w14:paraId="1543749E" w14:textId="77777777" w:rsidR="00220B34" w:rsidRDefault="00220B34" w:rsidP="00220B34">
      <w:pPr>
        <w:pStyle w:val="Tekstkomentarza"/>
      </w:pPr>
      <w:r>
        <w:rPr>
          <w:rStyle w:val="Odwoaniedokomentarza"/>
        </w:rPr>
        <w:annotationRef/>
      </w:r>
      <w:r>
        <w:t>I am not sure about this one. In the end, countries should decarbonize their economies, and it should not matter (from our point of view) whether fossil fuels are domestically extracted or imported</w:t>
      </w:r>
    </w:p>
  </w:comment>
  <w:comment w:id="10" w:author="Maciej Grodzicki" w:date="2024-07-24T15:39:00Z" w:initials="MG">
    <w:p w14:paraId="7421592A" w14:textId="4F7AAAE3" w:rsidR="000B32CE" w:rsidRDefault="000B32CE" w:rsidP="000B32CE">
      <w:pPr>
        <w:pStyle w:val="Tekstkomentarza"/>
      </w:pPr>
      <w:r>
        <w:rPr>
          <w:rStyle w:val="Odwoaniedokomentarza"/>
        </w:rPr>
        <w:annotationRef/>
      </w:r>
      <w:r>
        <w:t>This is locally important, however the values are very small when related to total employment at national scale. In the end, extractive industries are small in terms of total employment</w:t>
      </w:r>
    </w:p>
  </w:comment>
  <w:comment w:id="11" w:author="Maciej Grodzicki" w:date="2024-07-24T15:38:00Z" w:initials="MG">
    <w:p w14:paraId="4DA80542" w14:textId="314B7D96" w:rsidR="000B32CE" w:rsidRDefault="000B32CE" w:rsidP="000B32CE">
      <w:pPr>
        <w:pStyle w:val="Tekstkomentarza"/>
      </w:pPr>
      <w:r>
        <w:rPr>
          <w:rStyle w:val="Odwoaniedokomentarza"/>
        </w:rPr>
        <w:annotationRef/>
      </w:r>
      <w:r>
        <w:t>Worth to check to what extent this variable is correlated with share of fossil fuels in energy sector. The role of heavy industry in productive structure might matter.</w:t>
      </w:r>
    </w:p>
  </w:comment>
  <w:comment w:id="12" w:author="Maciej Grodzicki" w:date="2024-07-24T15:48:00Z" w:initials="MG">
    <w:p w14:paraId="3CD7FF70" w14:textId="77777777" w:rsidR="000C29A1" w:rsidRDefault="000C29A1" w:rsidP="000C29A1">
      <w:pPr>
        <w:pStyle w:val="Tekstkomentarza"/>
      </w:pPr>
      <w:r>
        <w:rPr>
          <w:rStyle w:val="Odwoaniedokomentarza"/>
        </w:rPr>
        <w:annotationRef/>
      </w:r>
      <w:r>
        <w:t xml:space="preserve">Discussion here: </w:t>
      </w:r>
      <w:hyperlink r:id="rId6" w:history="1">
        <w:r w:rsidRPr="00706206">
          <w:rPr>
            <w:rStyle w:val="Hipercze"/>
          </w:rPr>
          <w:t>https://ert.eu/wp-content/uploads/2024/04/ERT-Competitiveness-of-Europes-energy-intensive-industries_March-2024.pdf</w:t>
        </w:r>
      </w:hyperlink>
    </w:p>
  </w:comment>
  <w:comment w:id="13" w:author="Maciej Grodzicki" w:date="2024-07-24T15:43:00Z" w:initials="MG">
    <w:p w14:paraId="060FB3FC" w14:textId="1390CEE1" w:rsidR="00F8119E" w:rsidRDefault="00F8119E" w:rsidP="00F8119E">
      <w:pPr>
        <w:pStyle w:val="Tekstkomentarza"/>
      </w:pPr>
      <w:r>
        <w:rPr>
          <w:rStyle w:val="Odwoaniedokomentarza"/>
        </w:rPr>
        <w:annotationRef/>
      </w:r>
      <w:r>
        <w:t xml:space="preserve">I would not include it in cluster analysis itself - but rather in the latter stage, to see to what extent clusters are related to complexity, innovativeness or productivity.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90C492" w15:done="0"/>
  <w15:commentEx w15:paraId="057909B5" w15:done="0"/>
  <w15:commentEx w15:paraId="4D487463" w15:done="0"/>
  <w15:commentEx w15:paraId="2DB6DFEA" w15:done="0"/>
  <w15:commentEx w15:paraId="6088B3B3" w15:done="0"/>
  <w15:commentEx w15:paraId="0DFCF80A" w15:done="0"/>
  <w15:commentEx w15:paraId="61DE18B9" w15:done="0"/>
  <w15:commentEx w15:paraId="04032D6F" w15:done="0"/>
  <w15:commentEx w15:paraId="61F49D72" w15:done="0"/>
  <w15:commentEx w15:paraId="1543749E" w15:done="0"/>
  <w15:commentEx w15:paraId="7421592A" w15:done="0"/>
  <w15:commentEx w15:paraId="4DA80542" w15:done="0"/>
  <w15:commentEx w15:paraId="3CD7FF70" w15:done="0"/>
  <w15:commentEx w15:paraId="060FB3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5AE8BC" w16cex:dateUtc="2024-07-24T13:31:00Z"/>
  <w16cex:commentExtensible w16cex:durableId="428CDF63" w16cex:dateUtc="2024-07-24T13:13:00Z"/>
  <w16cex:commentExtensible w16cex:durableId="79A5EFCF" w16cex:dateUtc="2024-07-24T13:15:00Z"/>
  <w16cex:commentExtensible w16cex:durableId="0C1588D3" w16cex:dateUtc="2024-07-24T13:32:00Z"/>
  <w16cex:commentExtensible w16cex:durableId="775A103D" w16cex:dateUtc="2024-07-24T13:33:00Z"/>
  <w16cex:commentExtensible w16cex:durableId="0D09B1ED" w16cex:dateUtc="2024-07-24T13:33:00Z"/>
  <w16cex:commentExtensible w16cex:durableId="5F8F020C" w16cex:dateUtc="2024-07-24T13:05:00Z"/>
  <w16cex:commentExtensible w16cex:durableId="6620BB07" w16cex:dateUtc="2024-07-24T13:40:00Z"/>
  <w16cex:commentExtensible w16cex:durableId="775C2D07" w16cex:dateUtc="2024-07-24T13:35:00Z"/>
  <w16cex:commentExtensible w16cex:durableId="65887055" w16cex:dateUtc="2024-07-24T13:45:00Z"/>
  <w16cex:commentExtensible w16cex:durableId="0524F2E5" w16cex:dateUtc="2024-07-24T13:39:00Z"/>
  <w16cex:commentExtensible w16cex:durableId="1986EE4C" w16cex:dateUtc="2024-07-24T13:38:00Z"/>
  <w16cex:commentExtensible w16cex:durableId="324C2712" w16cex:dateUtc="2024-07-24T13:48:00Z"/>
  <w16cex:commentExtensible w16cex:durableId="1AB2FED8" w16cex:dateUtc="2024-07-24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90C492" w16cid:durableId="135AE8BC"/>
  <w16cid:commentId w16cid:paraId="057909B5" w16cid:durableId="428CDF63"/>
  <w16cid:commentId w16cid:paraId="4D487463" w16cid:durableId="79A5EFCF"/>
  <w16cid:commentId w16cid:paraId="2DB6DFEA" w16cid:durableId="0C1588D3"/>
  <w16cid:commentId w16cid:paraId="6088B3B3" w16cid:durableId="775A103D"/>
  <w16cid:commentId w16cid:paraId="0DFCF80A" w16cid:durableId="0D09B1ED"/>
  <w16cid:commentId w16cid:paraId="61DE18B9" w16cid:durableId="5F8F020C"/>
  <w16cid:commentId w16cid:paraId="04032D6F" w16cid:durableId="6620BB07"/>
  <w16cid:commentId w16cid:paraId="61F49D72" w16cid:durableId="775C2D07"/>
  <w16cid:commentId w16cid:paraId="1543749E" w16cid:durableId="65887055"/>
  <w16cid:commentId w16cid:paraId="7421592A" w16cid:durableId="0524F2E5"/>
  <w16cid:commentId w16cid:paraId="4DA80542" w16cid:durableId="1986EE4C"/>
  <w16cid:commentId w16cid:paraId="3CD7FF70" w16cid:durableId="324C2712"/>
  <w16cid:commentId w16cid:paraId="060FB3FC" w16cid:durableId="1AB2FE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33432" w14:textId="77777777" w:rsidR="00DD4A9C" w:rsidRDefault="00DD4A9C" w:rsidP="00DD4A9C">
      <w:pPr>
        <w:spacing w:after="0" w:line="240" w:lineRule="auto"/>
      </w:pPr>
      <w:r>
        <w:separator/>
      </w:r>
    </w:p>
  </w:endnote>
  <w:endnote w:type="continuationSeparator" w:id="0">
    <w:p w14:paraId="145BBA08" w14:textId="77777777" w:rsidR="00DD4A9C" w:rsidRDefault="00DD4A9C" w:rsidP="00DD4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D329B" w14:textId="77777777" w:rsidR="00DD4A9C" w:rsidRDefault="00DD4A9C" w:rsidP="00DD4A9C">
      <w:pPr>
        <w:spacing w:after="0" w:line="240" w:lineRule="auto"/>
      </w:pPr>
      <w:r>
        <w:separator/>
      </w:r>
    </w:p>
  </w:footnote>
  <w:footnote w:type="continuationSeparator" w:id="0">
    <w:p w14:paraId="0EE2E4A1" w14:textId="77777777" w:rsidR="00DD4A9C" w:rsidRDefault="00DD4A9C" w:rsidP="00DD4A9C">
      <w:pPr>
        <w:spacing w:after="0" w:line="240" w:lineRule="auto"/>
      </w:pPr>
      <w:r>
        <w:continuationSeparator/>
      </w:r>
    </w:p>
  </w:footnote>
  <w:footnote w:id="1">
    <w:p w14:paraId="3DA167B4" w14:textId="50AD4BDC" w:rsidR="00DD4A9C" w:rsidRPr="00E83DAC" w:rsidRDefault="00DD4A9C" w:rsidP="00E83DAC">
      <w:pPr>
        <w:spacing w:after="0"/>
        <w:rPr>
          <w:b/>
          <w:bCs/>
          <w:sz w:val="18"/>
          <w:szCs w:val="18"/>
        </w:rPr>
      </w:pPr>
      <w:r w:rsidRPr="00E83DAC">
        <w:rPr>
          <w:rStyle w:val="Odwoanieprzypisudolnego"/>
          <w:sz w:val="18"/>
          <w:szCs w:val="18"/>
        </w:rPr>
        <w:footnoteRef/>
      </w:r>
      <w:r w:rsidRPr="00E83DAC">
        <w:rPr>
          <w:sz w:val="18"/>
          <w:szCs w:val="18"/>
        </w:rPr>
        <w:t xml:space="preserve"> </w:t>
      </w:r>
      <w:hyperlink r:id="rId1" w:history="1">
        <w:r w:rsidRPr="00E83DAC">
          <w:rPr>
            <w:rStyle w:val="Hipercze"/>
            <w:b/>
            <w:bCs/>
            <w:sz w:val="18"/>
            <w:szCs w:val="18"/>
          </w:rPr>
          <w:t>https://climate.ec.europa.eu/eu-action/european-climate-law_en</w:t>
        </w:r>
      </w:hyperlink>
      <w:r w:rsidRPr="00E83DAC">
        <w:rPr>
          <w:b/>
          <w:bCs/>
          <w:sz w:val="18"/>
          <w:szCs w:val="18"/>
        </w:rPr>
        <w:t xml:space="preserve"> </w:t>
      </w:r>
    </w:p>
  </w:footnote>
  <w:footnote w:id="2">
    <w:p w14:paraId="5FA040C5" w14:textId="179B22BD" w:rsidR="00DD4A9C" w:rsidRPr="00E83DAC" w:rsidRDefault="00DD4A9C" w:rsidP="00E83DAC">
      <w:pPr>
        <w:spacing w:after="0"/>
        <w:rPr>
          <w:sz w:val="18"/>
          <w:szCs w:val="18"/>
        </w:rPr>
      </w:pPr>
      <w:r w:rsidRPr="00E83DAC">
        <w:rPr>
          <w:rStyle w:val="Odwoanieprzypisudolnego"/>
          <w:sz w:val="18"/>
          <w:szCs w:val="18"/>
        </w:rPr>
        <w:footnoteRef/>
      </w:r>
      <w:r w:rsidRPr="00E83DAC">
        <w:rPr>
          <w:sz w:val="18"/>
          <w:szCs w:val="18"/>
        </w:rPr>
        <w:t xml:space="preserve"> </w:t>
      </w:r>
      <w:hyperlink r:id="rId2" w:history="1">
        <w:r w:rsidRPr="00E83DAC">
          <w:rPr>
            <w:rStyle w:val="Hipercze"/>
            <w:sz w:val="18"/>
            <w:szCs w:val="18"/>
          </w:rPr>
          <w:t>https://climate.ec.europa.eu/eu-action/climate-strategies-targets/2050-long-term-strategy_en</w:t>
        </w:r>
      </w:hyperlink>
    </w:p>
  </w:footnote>
  <w:footnote w:id="3">
    <w:p w14:paraId="4B74D6B7" w14:textId="15066287" w:rsidR="00DD4A9C" w:rsidRPr="00E83DAC" w:rsidRDefault="00DD4A9C" w:rsidP="00E83DAC">
      <w:pPr>
        <w:spacing w:after="0"/>
        <w:rPr>
          <w:sz w:val="18"/>
          <w:szCs w:val="18"/>
          <w:lang w:val="en-US"/>
        </w:rPr>
      </w:pPr>
      <w:r w:rsidRPr="00E83DAC">
        <w:rPr>
          <w:rStyle w:val="Odwoanieprzypisudolnego"/>
          <w:sz w:val="18"/>
          <w:szCs w:val="18"/>
        </w:rPr>
        <w:footnoteRef/>
      </w:r>
      <w:r w:rsidRPr="00E83DAC">
        <w:rPr>
          <w:sz w:val="18"/>
          <w:szCs w:val="18"/>
          <w:lang w:val="en-US"/>
        </w:rPr>
        <w:t xml:space="preserve"> </w:t>
      </w:r>
      <w:hyperlink r:id="rId3" w:history="1">
        <w:r w:rsidRPr="00E83DAC">
          <w:rPr>
            <w:rStyle w:val="Hipercze"/>
            <w:sz w:val="18"/>
            <w:szCs w:val="18"/>
            <w:lang w:val="en-US"/>
          </w:rPr>
          <w:t>https://eur-lex.europa.eu/resource.html?uri=cellar:b828d165-1c22-11ea-8c1f-01aa75ed71a1.0002.02/DOC_1&amp;format=PDF</w:t>
        </w:r>
      </w:hyperlink>
      <w:r w:rsidRPr="00E83DAC">
        <w:rPr>
          <w:sz w:val="18"/>
          <w:szCs w:val="18"/>
          <w:lang w:val="en-US"/>
        </w:rPr>
        <w:t xml:space="preserve"> </w:t>
      </w:r>
    </w:p>
  </w:footnote>
  <w:footnote w:id="4">
    <w:p w14:paraId="36D7A02E" w14:textId="428EE76C" w:rsidR="00DD4A9C" w:rsidRPr="00E83DAC" w:rsidRDefault="00DD4A9C" w:rsidP="00E83DAC">
      <w:pPr>
        <w:spacing w:after="0"/>
        <w:rPr>
          <w:b/>
          <w:bCs/>
          <w:sz w:val="18"/>
          <w:szCs w:val="18"/>
          <w:lang w:val="en-US"/>
        </w:rPr>
      </w:pPr>
      <w:r w:rsidRPr="00E83DAC">
        <w:rPr>
          <w:rStyle w:val="Odwoanieprzypisudolnego"/>
          <w:sz w:val="18"/>
          <w:szCs w:val="18"/>
        </w:rPr>
        <w:footnoteRef/>
      </w:r>
      <w:r w:rsidRPr="00E83DAC">
        <w:rPr>
          <w:sz w:val="18"/>
          <w:szCs w:val="18"/>
          <w:lang w:val="en-US"/>
        </w:rPr>
        <w:t xml:space="preserve"> </w:t>
      </w:r>
      <w:hyperlink r:id="rId4" w:history="1">
        <w:r w:rsidRPr="00E83DAC">
          <w:rPr>
            <w:rStyle w:val="Hipercze"/>
            <w:b/>
            <w:bCs/>
            <w:sz w:val="18"/>
            <w:szCs w:val="18"/>
            <w:lang w:val="en-US"/>
          </w:rPr>
          <w:t>https://energy.ec.europa.eu/topics/renewable-energy/renewable-energy-directive-targets-and-rules/renewable-energy-targets_en</w:t>
        </w:r>
      </w:hyperlink>
      <w:r w:rsidRPr="00E83DAC">
        <w:rPr>
          <w:b/>
          <w:bCs/>
          <w:sz w:val="18"/>
          <w:szCs w:val="18"/>
          <w:lang w:val="en-US"/>
        </w:rPr>
        <w:t xml:space="preserve"> </w:t>
      </w:r>
    </w:p>
  </w:footnote>
  <w:footnote w:id="5">
    <w:p w14:paraId="6FA5CD6F" w14:textId="77777777" w:rsidR="00AA5BB2" w:rsidRPr="00ED686C" w:rsidRDefault="00AA5BB2" w:rsidP="00AA5BB2">
      <w:pPr>
        <w:pStyle w:val="Tekstprzypisudolnego"/>
        <w:rPr>
          <w:lang w:val="en-US"/>
        </w:rPr>
      </w:pPr>
      <w:r>
        <w:rPr>
          <w:rStyle w:val="Odwoanieprzypisudolnego"/>
        </w:rPr>
        <w:footnoteRef/>
      </w:r>
      <w:r w:rsidRPr="00ED686C">
        <w:rPr>
          <w:lang w:val="en-US"/>
        </w:rPr>
        <w:t xml:space="preserve"> </w:t>
      </w:r>
      <w:hyperlink r:id="rId5" w:history="1">
        <w:r w:rsidRPr="002235A1">
          <w:rPr>
            <w:rStyle w:val="Hipercze"/>
            <w:rFonts w:ascii="Calibri" w:hAnsi="Calibri" w:cs="Calibri"/>
            <w:b/>
            <w:bCs/>
            <w:lang w:val="en-US"/>
          </w:rPr>
          <w:t>https://eur-lex.europa.eu/legal-content/EN/TXT/PDF/?uri=CELEX:52020DC0564</w:t>
        </w:r>
      </w:hyperlink>
      <w:r>
        <w:rPr>
          <w:rFonts w:ascii="Calibri" w:hAnsi="Calibri" w:cs="Calibri"/>
          <w:b/>
          <w:bCs/>
          <w:lang w:val="en-US"/>
        </w:rPr>
        <w:t xml:space="preserve"> </w:t>
      </w:r>
    </w:p>
  </w:footnote>
  <w:footnote w:id="6">
    <w:p w14:paraId="54DFEA3E" w14:textId="35BD278C" w:rsidR="00C90A46" w:rsidRPr="00C90A46" w:rsidRDefault="00C90A46">
      <w:pPr>
        <w:pStyle w:val="Tekstprzypisudolnego"/>
        <w:rPr>
          <w:lang w:val="en-US"/>
        </w:rPr>
      </w:pPr>
      <w:r>
        <w:rPr>
          <w:rStyle w:val="Odwoanieprzypisudolnego"/>
        </w:rPr>
        <w:footnoteRef/>
      </w:r>
      <w:r w:rsidRPr="00C90A46">
        <w:rPr>
          <w:lang w:val="en-US"/>
        </w:rPr>
        <w:t xml:space="preserve"> </w:t>
      </w:r>
      <w:hyperlink r:id="rId6" w:history="1">
        <w:r w:rsidRPr="002579BC">
          <w:rPr>
            <w:rStyle w:val="Hipercze"/>
            <w:lang w:val="en-US"/>
          </w:rPr>
          <w:t>https://eur-lex.europa.eu/resource.html?uri=cellar:b828d165-1c22-11ea-8c1f-01aa75ed71a1.0002.02/DOC_1&amp;format=PDF</w:t>
        </w:r>
      </w:hyperlink>
    </w:p>
  </w:footnote>
  <w:footnote w:id="7">
    <w:p w14:paraId="793EA9F1" w14:textId="17093BEF" w:rsidR="006C0F35" w:rsidRPr="00E83DAC" w:rsidRDefault="006C0F35" w:rsidP="00E83DAC">
      <w:pPr>
        <w:spacing w:after="0"/>
        <w:rPr>
          <w:sz w:val="18"/>
          <w:szCs w:val="18"/>
        </w:rPr>
      </w:pPr>
      <w:r w:rsidRPr="00E83DAC">
        <w:rPr>
          <w:rStyle w:val="Odwoanieprzypisudolnego"/>
          <w:sz w:val="18"/>
          <w:szCs w:val="18"/>
        </w:rPr>
        <w:footnoteRef/>
      </w:r>
      <w:r w:rsidRPr="00E83DAC">
        <w:rPr>
          <w:sz w:val="18"/>
          <w:szCs w:val="18"/>
          <w:lang w:val="en-US"/>
        </w:rPr>
        <w:t xml:space="preserve"> </w:t>
      </w:r>
      <w:r w:rsidRPr="00E83DAC">
        <w:rPr>
          <w:sz w:val="18"/>
          <w:szCs w:val="18"/>
          <w:lang w:val="en-US"/>
        </w:rPr>
        <w:t xml:space="preserve">The assessment of NECPs shows that the share of renewable energy could reach, under existing and planned measures, a range of 33.1 to 33.7% in 2030 at Union level surpassing the target of at least 32% in 2030. </w:t>
      </w:r>
      <w:hyperlink r:id="rId7" w:history="1">
        <w:r w:rsidRPr="00E83DAC">
          <w:rPr>
            <w:rStyle w:val="Hipercze"/>
            <w:sz w:val="18"/>
            <w:szCs w:val="18"/>
          </w:rPr>
          <w:t>https://eur-lex.europa.eu/legal-content/EN/TXT/PDF/?uri=CELEX:52020DC0564</w:t>
        </w:r>
      </w:hyperlink>
      <w:r w:rsidRPr="00E83DAC">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A2757"/>
    <w:multiLevelType w:val="multilevel"/>
    <w:tmpl w:val="EE946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72708"/>
    <w:multiLevelType w:val="hybridMultilevel"/>
    <w:tmpl w:val="AFBC2CA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67025A3"/>
    <w:multiLevelType w:val="hybridMultilevel"/>
    <w:tmpl w:val="41085FA0"/>
    <w:lvl w:ilvl="0" w:tplc="167029EA">
      <w:start w:val="6"/>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336175A"/>
    <w:multiLevelType w:val="hybridMultilevel"/>
    <w:tmpl w:val="DAF451F4"/>
    <w:lvl w:ilvl="0" w:tplc="36CA56F8">
      <w:start w:val="6"/>
      <w:numFmt w:val="bullet"/>
      <w:lvlText w:val="-"/>
      <w:lvlJc w:val="left"/>
      <w:pPr>
        <w:ind w:left="720" w:hanging="360"/>
      </w:pPr>
      <w:rPr>
        <w:rFonts w:ascii="Aptos" w:eastAsiaTheme="minorHAnsi" w:hAnsi="Apto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C5E556E"/>
    <w:multiLevelType w:val="hybridMultilevel"/>
    <w:tmpl w:val="C60C395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0BA5AC7"/>
    <w:multiLevelType w:val="hybridMultilevel"/>
    <w:tmpl w:val="7B88B180"/>
    <w:lvl w:ilvl="0" w:tplc="5BE27F5C">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C4F23A6"/>
    <w:multiLevelType w:val="multilevel"/>
    <w:tmpl w:val="B5CC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503214">
    <w:abstractNumId w:val="4"/>
  </w:num>
  <w:num w:numId="2" w16cid:durableId="1806653782">
    <w:abstractNumId w:val="2"/>
  </w:num>
  <w:num w:numId="3" w16cid:durableId="1652177570">
    <w:abstractNumId w:val="3"/>
  </w:num>
  <w:num w:numId="4" w16cid:durableId="950818820">
    <w:abstractNumId w:val="1"/>
  </w:num>
  <w:num w:numId="5" w16cid:durableId="406073503">
    <w:abstractNumId w:val="0"/>
  </w:num>
  <w:num w:numId="6" w16cid:durableId="1288127219">
    <w:abstractNumId w:val="6"/>
  </w:num>
  <w:num w:numId="7" w16cid:durableId="190810478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ciej Grodzicki">
    <w15:presenceInfo w15:providerId="AD" w15:userId="S::maciej.grodzicki@uj.edu.pl::1722f012-50d1-4019-93e7-ce5d6a392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729B"/>
    <w:rsid w:val="00041A36"/>
    <w:rsid w:val="00047FA9"/>
    <w:rsid w:val="00051536"/>
    <w:rsid w:val="000A1CEF"/>
    <w:rsid w:val="000B32CE"/>
    <w:rsid w:val="000C29A1"/>
    <w:rsid w:val="000D45C7"/>
    <w:rsid w:val="00185B10"/>
    <w:rsid w:val="001A170B"/>
    <w:rsid w:val="001B21B3"/>
    <w:rsid w:val="001F25C9"/>
    <w:rsid w:val="00220B34"/>
    <w:rsid w:val="00220B55"/>
    <w:rsid w:val="00295E7D"/>
    <w:rsid w:val="002C26C8"/>
    <w:rsid w:val="002E6AE9"/>
    <w:rsid w:val="00312FD6"/>
    <w:rsid w:val="0037365D"/>
    <w:rsid w:val="0039583B"/>
    <w:rsid w:val="003B726B"/>
    <w:rsid w:val="004011A3"/>
    <w:rsid w:val="00475D59"/>
    <w:rsid w:val="00520B72"/>
    <w:rsid w:val="0057113E"/>
    <w:rsid w:val="005C12D7"/>
    <w:rsid w:val="0064729B"/>
    <w:rsid w:val="00686B7C"/>
    <w:rsid w:val="006C0F35"/>
    <w:rsid w:val="006C2413"/>
    <w:rsid w:val="007261A1"/>
    <w:rsid w:val="00745E9A"/>
    <w:rsid w:val="008268DE"/>
    <w:rsid w:val="009143A0"/>
    <w:rsid w:val="00921F6A"/>
    <w:rsid w:val="00A626CD"/>
    <w:rsid w:val="00AA3F09"/>
    <w:rsid w:val="00AA5BB2"/>
    <w:rsid w:val="00AA6522"/>
    <w:rsid w:val="00BB0409"/>
    <w:rsid w:val="00C34065"/>
    <w:rsid w:val="00C90A46"/>
    <w:rsid w:val="00CB690A"/>
    <w:rsid w:val="00D65222"/>
    <w:rsid w:val="00DA3D1D"/>
    <w:rsid w:val="00DD4A9C"/>
    <w:rsid w:val="00DF3DF8"/>
    <w:rsid w:val="00E4133E"/>
    <w:rsid w:val="00E83DAC"/>
    <w:rsid w:val="00E9465B"/>
    <w:rsid w:val="00EC080D"/>
    <w:rsid w:val="00EC1249"/>
    <w:rsid w:val="00ED686C"/>
    <w:rsid w:val="00EF29EB"/>
    <w:rsid w:val="00F74049"/>
    <w:rsid w:val="00F763AB"/>
    <w:rsid w:val="00F8119E"/>
    <w:rsid w:val="00F93353"/>
    <w:rsid w:val="00FC71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5C9D"/>
  <w15:chartTrackingRefBased/>
  <w15:docId w15:val="{95CB0408-7050-4FC3-9F03-AF3CBBBE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47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47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4729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4729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4729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4729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4729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4729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4729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4729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4729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4729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4729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4729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4729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4729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4729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4729B"/>
    <w:rPr>
      <w:rFonts w:eastAsiaTheme="majorEastAsia" w:cstheme="majorBidi"/>
      <w:color w:val="272727" w:themeColor="text1" w:themeTint="D8"/>
    </w:rPr>
  </w:style>
  <w:style w:type="paragraph" w:styleId="Tytu">
    <w:name w:val="Title"/>
    <w:basedOn w:val="Normalny"/>
    <w:next w:val="Normalny"/>
    <w:link w:val="TytuZnak"/>
    <w:uiPriority w:val="10"/>
    <w:qFormat/>
    <w:rsid w:val="00647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4729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4729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4729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4729B"/>
    <w:pPr>
      <w:spacing w:before="160"/>
      <w:jc w:val="center"/>
    </w:pPr>
    <w:rPr>
      <w:i/>
      <w:iCs/>
      <w:color w:val="404040" w:themeColor="text1" w:themeTint="BF"/>
    </w:rPr>
  </w:style>
  <w:style w:type="character" w:customStyle="1" w:styleId="CytatZnak">
    <w:name w:val="Cytat Znak"/>
    <w:basedOn w:val="Domylnaczcionkaakapitu"/>
    <w:link w:val="Cytat"/>
    <w:uiPriority w:val="29"/>
    <w:rsid w:val="0064729B"/>
    <w:rPr>
      <w:i/>
      <w:iCs/>
      <w:color w:val="404040" w:themeColor="text1" w:themeTint="BF"/>
    </w:rPr>
  </w:style>
  <w:style w:type="paragraph" w:styleId="Akapitzlist">
    <w:name w:val="List Paragraph"/>
    <w:basedOn w:val="Normalny"/>
    <w:uiPriority w:val="34"/>
    <w:qFormat/>
    <w:rsid w:val="0064729B"/>
    <w:pPr>
      <w:ind w:left="720"/>
      <w:contextualSpacing/>
    </w:pPr>
  </w:style>
  <w:style w:type="character" w:styleId="Wyrnienieintensywne">
    <w:name w:val="Intense Emphasis"/>
    <w:basedOn w:val="Domylnaczcionkaakapitu"/>
    <w:uiPriority w:val="21"/>
    <w:qFormat/>
    <w:rsid w:val="0064729B"/>
    <w:rPr>
      <w:i/>
      <w:iCs/>
      <w:color w:val="0F4761" w:themeColor="accent1" w:themeShade="BF"/>
    </w:rPr>
  </w:style>
  <w:style w:type="paragraph" w:styleId="Cytatintensywny">
    <w:name w:val="Intense Quote"/>
    <w:basedOn w:val="Normalny"/>
    <w:next w:val="Normalny"/>
    <w:link w:val="CytatintensywnyZnak"/>
    <w:uiPriority w:val="30"/>
    <w:qFormat/>
    <w:rsid w:val="00647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4729B"/>
    <w:rPr>
      <w:i/>
      <w:iCs/>
      <w:color w:val="0F4761" w:themeColor="accent1" w:themeShade="BF"/>
    </w:rPr>
  </w:style>
  <w:style w:type="character" w:styleId="Odwoanieintensywne">
    <w:name w:val="Intense Reference"/>
    <w:basedOn w:val="Domylnaczcionkaakapitu"/>
    <w:uiPriority w:val="32"/>
    <w:qFormat/>
    <w:rsid w:val="0064729B"/>
    <w:rPr>
      <w:b/>
      <w:bCs/>
      <w:smallCaps/>
      <w:color w:val="0F4761" w:themeColor="accent1" w:themeShade="BF"/>
      <w:spacing w:val="5"/>
    </w:rPr>
  </w:style>
  <w:style w:type="character" w:styleId="Odwoaniedokomentarza">
    <w:name w:val="annotation reference"/>
    <w:basedOn w:val="Domylnaczcionkaakapitu"/>
    <w:uiPriority w:val="99"/>
    <w:semiHidden/>
    <w:unhideWhenUsed/>
    <w:rsid w:val="00DD4A9C"/>
    <w:rPr>
      <w:sz w:val="16"/>
      <w:szCs w:val="16"/>
    </w:rPr>
  </w:style>
  <w:style w:type="paragraph" w:styleId="Tekstkomentarza">
    <w:name w:val="annotation text"/>
    <w:basedOn w:val="Normalny"/>
    <w:link w:val="TekstkomentarzaZnak"/>
    <w:uiPriority w:val="99"/>
    <w:unhideWhenUsed/>
    <w:rsid w:val="00DD4A9C"/>
    <w:pPr>
      <w:spacing w:line="240" w:lineRule="auto"/>
    </w:pPr>
    <w:rPr>
      <w:sz w:val="20"/>
      <w:szCs w:val="20"/>
    </w:rPr>
  </w:style>
  <w:style w:type="character" w:customStyle="1" w:styleId="TekstkomentarzaZnak">
    <w:name w:val="Tekst komentarza Znak"/>
    <w:basedOn w:val="Domylnaczcionkaakapitu"/>
    <w:link w:val="Tekstkomentarza"/>
    <w:uiPriority w:val="99"/>
    <w:rsid w:val="00DD4A9C"/>
    <w:rPr>
      <w:sz w:val="20"/>
      <w:szCs w:val="20"/>
    </w:rPr>
  </w:style>
  <w:style w:type="paragraph" w:styleId="Tematkomentarza">
    <w:name w:val="annotation subject"/>
    <w:basedOn w:val="Tekstkomentarza"/>
    <w:next w:val="Tekstkomentarza"/>
    <w:link w:val="TematkomentarzaZnak"/>
    <w:uiPriority w:val="99"/>
    <w:semiHidden/>
    <w:unhideWhenUsed/>
    <w:rsid w:val="00DD4A9C"/>
    <w:rPr>
      <w:b/>
      <w:bCs/>
    </w:rPr>
  </w:style>
  <w:style w:type="character" w:customStyle="1" w:styleId="TematkomentarzaZnak">
    <w:name w:val="Temat komentarza Znak"/>
    <w:basedOn w:val="TekstkomentarzaZnak"/>
    <w:link w:val="Tematkomentarza"/>
    <w:uiPriority w:val="99"/>
    <w:semiHidden/>
    <w:rsid w:val="00DD4A9C"/>
    <w:rPr>
      <w:b/>
      <w:bCs/>
      <w:sz w:val="20"/>
      <w:szCs w:val="20"/>
    </w:rPr>
  </w:style>
  <w:style w:type="character" w:styleId="Hipercze">
    <w:name w:val="Hyperlink"/>
    <w:basedOn w:val="Domylnaczcionkaakapitu"/>
    <w:uiPriority w:val="99"/>
    <w:unhideWhenUsed/>
    <w:rsid w:val="00DD4A9C"/>
    <w:rPr>
      <w:color w:val="467886" w:themeColor="hyperlink"/>
      <w:u w:val="single"/>
    </w:rPr>
  </w:style>
  <w:style w:type="character" w:styleId="Nierozpoznanawzmianka">
    <w:name w:val="Unresolved Mention"/>
    <w:basedOn w:val="Domylnaczcionkaakapitu"/>
    <w:uiPriority w:val="99"/>
    <w:semiHidden/>
    <w:unhideWhenUsed/>
    <w:rsid w:val="00DD4A9C"/>
    <w:rPr>
      <w:color w:val="605E5C"/>
      <w:shd w:val="clear" w:color="auto" w:fill="E1DFDD"/>
    </w:rPr>
  </w:style>
  <w:style w:type="paragraph" w:styleId="Tekstprzypisudolnego">
    <w:name w:val="footnote text"/>
    <w:basedOn w:val="Normalny"/>
    <w:link w:val="TekstprzypisudolnegoZnak"/>
    <w:uiPriority w:val="99"/>
    <w:semiHidden/>
    <w:unhideWhenUsed/>
    <w:rsid w:val="00DD4A9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D4A9C"/>
    <w:rPr>
      <w:sz w:val="20"/>
      <w:szCs w:val="20"/>
    </w:rPr>
  </w:style>
  <w:style w:type="character" w:styleId="Odwoanieprzypisudolnego">
    <w:name w:val="footnote reference"/>
    <w:basedOn w:val="Domylnaczcionkaakapitu"/>
    <w:uiPriority w:val="99"/>
    <w:semiHidden/>
    <w:unhideWhenUsed/>
    <w:rsid w:val="00DD4A9C"/>
    <w:rPr>
      <w:vertAlign w:val="superscript"/>
    </w:rPr>
  </w:style>
  <w:style w:type="paragraph" w:styleId="NormalnyWeb">
    <w:name w:val="Normal (Web)"/>
    <w:basedOn w:val="Normalny"/>
    <w:uiPriority w:val="99"/>
    <w:semiHidden/>
    <w:unhideWhenUsed/>
    <w:rsid w:val="006C0F35"/>
    <w:pPr>
      <w:spacing w:before="100" w:beforeAutospacing="1" w:after="100" w:afterAutospacing="1" w:line="240" w:lineRule="auto"/>
    </w:pPr>
    <w:rPr>
      <w:rFonts w:ascii="Times New Roman" w:eastAsia="Times New Roman" w:hAnsi="Times New Roman" w:cs="Times New Roman"/>
      <w:kern w:val="0"/>
      <w:sz w:val="24"/>
      <w:szCs w:val="24"/>
      <w:lang w:eastAsia="pl-PL"/>
    </w:rPr>
  </w:style>
  <w:style w:type="character" w:styleId="Pogrubienie">
    <w:name w:val="Strong"/>
    <w:basedOn w:val="Domylnaczcionkaakapitu"/>
    <w:uiPriority w:val="22"/>
    <w:qFormat/>
    <w:rsid w:val="006C0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922487">
      <w:bodyDiv w:val="1"/>
      <w:marLeft w:val="0"/>
      <w:marRight w:val="0"/>
      <w:marTop w:val="0"/>
      <w:marBottom w:val="0"/>
      <w:divBdr>
        <w:top w:val="none" w:sz="0" w:space="0" w:color="auto"/>
        <w:left w:val="none" w:sz="0" w:space="0" w:color="auto"/>
        <w:bottom w:val="none" w:sz="0" w:space="0" w:color="auto"/>
        <w:right w:val="none" w:sz="0" w:space="0" w:color="auto"/>
      </w:divBdr>
    </w:div>
    <w:div w:id="246891283">
      <w:bodyDiv w:val="1"/>
      <w:marLeft w:val="0"/>
      <w:marRight w:val="0"/>
      <w:marTop w:val="0"/>
      <w:marBottom w:val="0"/>
      <w:divBdr>
        <w:top w:val="none" w:sz="0" w:space="0" w:color="auto"/>
        <w:left w:val="none" w:sz="0" w:space="0" w:color="auto"/>
        <w:bottom w:val="none" w:sz="0" w:space="0" w:color="auto"/>
        <w:right w:val="none" w:sz="0" w:space="0" w:color="auto"/>
      </w:divBdr>
    </w:div>
    <w:div w:id="306665759">
      <w:bodyDiv w:val="1"/>
      <w:marLeft w:val="0"/>
      <w:marRight w:val="0"/>
      <w:marTop w:val="0"/>
      <w:marBottom w:val="0"/>
      <w:divBdr>
        <w:top w:val="none" w:sz="0" w:space="0" w:color="auto"/>
        <w:left w:val="none" w:sz="0" w:space="0" w:color="auto"/>
        <w:bottom w:val="none" w:sz="0" w:space="0" w:color="auto"/>
        <w:right w:val="none" w:sz="0" w:space="0" w:color="auto"/>
      </w:divBdr>
    </w:div>
    <w:div w:id="791091149">
      <w:bodyDiv w:val="1"/>
      <w:marLeft w:val="0"/>
      <w:marRight w:val="0"/>
      <w:marTop w:val="0"/>
      <w:marBottom w:val="0"/>
      <w:divBdr>
        <w:top w:val="none" w:sz="0" w:space="0" w:color="auto"/>
        <w:left w:val="none" w:sz="0" w:space="0" w:color="auto"/>
        <w:bottom w:val="none" w:sz="0" w:space="0" w:color="auto"/>
        <w:right w:val="none" w:sz="0" w:space="0" w:color="auto"/>
      </w:divBdr>
    </w:div>
    <w:div w:id="199236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c.europa.eu/commission/presscorner/detail/en/qanda_21_3661" TargetMode="External"/><Relationship Id="rId2" Type="http://schemas.openxmlformats.org/officeDocument/2006/relationships/hyperlink" Target="https://ec.europa.eu/commission/presscorner/detail/en/qanda_21_3542" TargetMode="External"/><Relationship Id="rId1" Type="http://schemas.openxmlformats.org/officeDocument/2006/relationships/hyperlink" Target="https://ec.europa.eu/commission/presscorner/detail/en/qanda_21_3662" TargetMode="External"/><Relationship Id="rId6" Type="http://schemas.openxmlformats.org/officeDocument/2006/relationships/hyperlink" Target="https://ert.eu/wp-content/uploads/2024/04/ERT-Competitiveness-of-Europes-energy-intensive-industries_March-2024.pdf" TargetMode="External"/><Relationship Id="rId5" Type="http://schemas.openxmlformats.org/officeDocument/2006/relationships/hyperlink" Target="https://flex-power.energy/energyblog/energy-weather-index-price-solar-wind/" TargetMode="External"/><Relationship Id="rId4" Type="http://schemas.openxmlformats.org/officeDocument/2006/relationships/hyperlink" Target="https://ec.europa.eu/commission/presscorner/detail/en/qanda_21_35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eur-lex.europa.eu/resource.html?uri=cellar:b828d165-1c22-11ea-8c1f-01aa75ed71a1.0002.02/DOC_1&amp;format=PDF" TargetMode="External"/><Relationship Id="rId7" Type="http://schemas.openxmlformats.org/officeDocument/2006/relationships/hyperlink" Target="https://eur-lex.europa.eu/legal-content/EN/TXT/PDF/?uri=CELEX:52020DC0564" TargetMode="External"/><Relationship Id="rId2" Type="http://schemas.openxmlformats.org/officeDocument/2006/relationships/hyperlink" Target="https://climate.ec.europa.eu/eu-action/climate-strategies-targets/2050-long-term-strategy_en" TargetMode="External"/><Relationship Id="rId1" Type="http://schemas.openxmlformats.org/officeDocument/2006/relationships/hyperlink" Target="https://climate.ec.europa.eu/eu-action/european-climate-law_en" TargetMode="External"/><Relationship Id="rId6" Type="http://schemas.openxmlformats.org/officeDocument/2006/relationships/hyperlink" Target="https://eur-lex.europa.eu/resource.html?uri=cellar:b828d165-1c22-11ea-8c1f-01aa75ed71a1.0002.02/DOC_1&amp;format=PDF" TargetMode="External"/><Relationship Id="rId5" Type="http://schemas.openxmlformats.org/officeDocument/2006/relationships/hyperlink" Target="https://eur-lex.europa.eu/legal-content/EN/TXT/PDF/?uri=CELEX:52020DC0564" TargetMode="External"/><Relationship Id="rId4" Type="http://schemas.openxmlformats.org/officeDocument/2006/relationships/hyperlink" Target="https://energy.ec.europa.eu/topics/renewable-energy/renewable-energy-directive-targets-and-rules/renewable-energy-targets_e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4DFE7-29AB-44E0-BEFE-F1C02E99D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1133</Words>
  <Characters>6798</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Grodzicki</dc:creator>
  <cp:keywords/>
  <dc:description/>
  <cp:lastModifiedBy>Maciej Grodzicki</cp:lastModifiedBy>
  <cp:revision>48</cp:revision>
  <dcterms:created xsi:type="dcterms:W3CDTF">2024-07-24T11:03:00Z</dcterms:created>
  <dcterms:modified xsi:type="dcterms:W3CDTF">2024-07-24T13:55:00Z</dcterms:modified>
</cp:coreProperties>
</file>