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Calibri" w:eastAsia="宋体" w:hAnsi="宋体" w:hint="default"/>
        </w:rPr>
        <w:t>关于我的js写法的介绍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首先，那个js的写法是来自于以前使用seajs的时候学习的一种js写法，所以下面先介绍seajs。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1. 关于‘seajs’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之前在代码中写的js的写法是模仿seajs的写法写的。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关于seajs的文档:http://www.zhangxinxu.com/sp/seajs.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2.seajs引用、别名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99656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Administrator/AppData/Roaming/JisuOffice/ETemp/6344_7246808/fImage20570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97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图1</w:t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314825" cy="1676400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Administrator/AppData/Roaming/JisuOffice/ETemp/6344_7246808/fImage12422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60" cy="16770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图2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当配置好相应路径指向之后，可以在写业务代码的时候，直接引用别名，例如上图1,图2。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t xml:space="preserve">好处：①整洁引用代码 ②可以按照需要规范代码引用标准 ③方便代码迁移（如果代码路径改变，直接修改配置</w:t>
      </w:r>
      <w:r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t>就行，不用大量改业务代码）④代码保密性，不对外暴露各js文件路径信息等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3.跨路径引用等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817620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Administrator/AppData/Roaming/JisuOffice/ETemp/6344_7246808/fImage23853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182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图3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40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很多东西文档说得很清楚了，这里不重复讲.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4.加载，引用seajs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282315"/>
            <wp:effectExtent l="0" t="0" r="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Administrator/AppData/Roaming/JisuOffice/ETemp/6344_7246808/fImage20802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29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图4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图4就是在页面写入的js部分，直接使用seajs对象的use方法加载需要加载的js模块(一个js模块就是</w:t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一个文件，文件当中包含了相应业务需要的功能模块代码)。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ab/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我们平时写的js代码绝大部分就是功能模块代码。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t xml:space="preserve">好处：①模块化管理js代码【seajs应用重点】 ②清晰明了看出一个页面使用了哪些功能（例如加载了上传模块，</w:t>
      </w:r>
      <w:r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t xml:space="preserve">弹窗模块，图片展示模块则可以知道这个页面就干了哪些事情） ③减少代码冗余度（上传模块封装好之后，可以</w:t>
      </w:r>
      <w:r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t xml:space="preserve">多处使用，而不用每次使用都要去重新写一次）④实现html 与js代码分离,简洁页面代码，便于错误定位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//------------------------------------------------------------------------------------------------------------------------------------------------------------==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  seajs中js写法是遵循CMD规范的，其实很多其他前端框架都是遵循CMD规范。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关于CMD以及其他相关js规范介绍：https://blog.csdn.net/sinat_17775997/article/details/52522767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 其实我那种写法更确切的说应该直接介绍CMD规范，但是我还是想顺便介绍一下seajs。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5.CMD规范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3950335"/>
            <wp:effectExtent l="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Administrator/AppData/Roaming/JisuOffice/ETemp/6344_7246808/fImage4043817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509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根据上面的CMD模范,然后以前大家规定的通用写法如下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代码：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938020"/>
            <wp:effectExtent l="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Administrator/AppData/Roaming/JisuOffice/ETemp/6344_7246808/fImage1983518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8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*就是一个用户中心模块的代码：包含三部分 </w:t>
      </w:r>
      <w:r>
        <w:rPr>
          <w:b w:val="1"/>
          <w:color w:val="FF0000"/>
          <w:position w:val="0"/>
          <w:sz w:val="18"/>
          <w:szCs w:val="18"/>
          <w:rFonts w:ascii="Calibri" w:eastAsia="宋体" w:hAnsi="宋体" w:hint="default"/>
        </w:rPr>
        <w:t xml:space="preserve">个人（信息）、银行卡、密码修改 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t>好处：这三方面已经包含了所有的个人中西需要的业务动作。使用这种规范之后，很久之后一看这个代码可以一目</w:t>
      </w:r>
      <w:r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t>了然看到这个地方干了什么，能干什么。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ab/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关于个人信息部分：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524375" cy="6324600"/>
            <wp:effectExtent l="0" t="0" r="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Administrator/AppData/Roaming/JisuOffice/ETemp/6344_7246808/fImage3384421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6325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229100" cy="4067175"/>
            <wp:effectExtent l="0" t="0" r="0" b="0"/>
            <wp:docPr id="2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Administrator/AppData/Roaming/JisuOffice/ETemp/6344_7246808/fImage2060622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40678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细化每个模块内部小模块的写法：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Arial" w:eastAsia="Arial" w:hAnsi="Arial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首先分为四大部分：</w:t>
      </w:r>
      <w:r>
        <w:rPr>
          <w:b w:val="0"/>
          <w:color w:val="auto"/>
          <w:position w:val="0"/>
          <w:sz w:val="18"/>
          <w:szCs w:val="18"/>
          <w:rFonts w:ascii="Arial" w:eastAsia="Arial" w:hAnsi="Arial" w:hint="default"/>
        </w:rPr>
        <w:t xml:space="preserve">ele（element 元素)  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1200" w:right="0" w:firstLine="400"/>
        <w:rPr>
          <w:b w:val="0"/>
          <w:color w:val="auto"/>
          <w:position w:val="0"/>
          <w:sz w:val="18"/>
          <w:szCs w:val="18"/>
          <w:rFonts w:ascii="Arial" w:eastAsia="Arial" w:hAnsi="Arial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Arial" w:eastAsia="Arial" w:hAnsi="Arial" w:hint="default"/>
        </w:rPr>
        <w:t xml:space="preserve">value / val (value 值)  </w:t>
      </w:r>
      <w:r>
        <w:rPr>
          <w:b w:val="0"/>
          <w:color w:val="A5A5A5" w:themeColor="background1" w:themeShade="A5"/>
          <w:position w:val="0"/>
          <w:sz w:val="18"/>
          <w:szCs w:val="18"/>
          <w:rFonts w:ascii="Arial" w:eastAsia="Arial" w:hAnsi="Arial" w:hint="default"/>
        </w:rPr>
        <w:t>*一般是用的val，没有用全称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1200" w:right="0" w:firstLine="40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event / eve (event 事件)  </w:t>
      </w:r>
      <w:r>
        <w:rPr>
          <w:b w:val="0"/>
          <w:color w:val="A5A5A5" w:themeColor="background1" w:themeShade="A5"/>
          <w:position w:val="0"/>
          <w:sz w:val="18"/>
          <w:szCs w:val="18"/>
          <w:rFonts w:ascii="Calibri" w:eastAsia="宋体" w:hAnsi="宋体" w:hint="default"/>
        </w:rPr>
        <w:t xml:space="preserve">*一般是用的eve ，没用全称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1200" w:right="0" w:firstLine="40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fn (function  函数)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5B9BD5" w:themeColor="accent1"/>
          <w:position w:val="0"/>
          <w:sz w:val="18"/>
          <w:szCs w:val="18"/>
          <w:rFonts w:ascii="Calibri" w:eastAsia="宋体" w:hAnsi="宋体" w:hint="default"/>
        </w:rPr>
        <w:t xml:space="preserve">ele 元素:</w:t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 xml:space="preserve">  定位相关需要操作的页面html元素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5B9BD5" w:themeColor="accent1"/>
          <w:position w:val="0"/>
          <w:sz w:val="18"/>
          <w:szCs w:val="18"/>
          <w:rFonts w:ascii="Calibri" w:eastAsia="宋体" w:hAnsi="宋体" w:hint="default"/>
        </w:rPr>
        <w:t xml:space="preserve">val 值：</w:t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从元素中取出来的值或者需要用到的一些定义的变量值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5B9BD5" w:themeColor="accent1"/>
          <w:position w:val="0"/>
          <w:sz w:val="18"/>
          <w:szCs w:val="18"/>
          <w:rFonts w:ascii="Calibri" w:eastAsia="宋体" w:hAnsi="宋体" w:hint="default"/>
        </w:rPr>
        <w:t xml:space="preserve">eve 事件：</w:t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js中的各种事件，绑定监听，变换值、大小颜色等操作，定义触发条件等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5B9BD5" w:themeColor="accent1"/>
          <w:position w:val="0"/>
          <w:sz w:val="18"/>
          <w:szCs w:val="18"/>
          <w:rFonts w:ascii="Calibri" w:eastAsia="宋体" w:hAnsi="宋体" w:hint="default"/>
        </w:rPr>
        <w:t xml:space="preserve">fn 函数：</w:t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实际操作业务流程做事情的代码，具体应该做得事情，例如向后台请求数据，或者将某些html替换内容</w:t>
      </w: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等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t xml:space="preserve">好处：①变量作用域限制，防止变量重写，影响其他js【重点】 ②便于快速定位业务目标代码 ③便于重构，只</w:t>
      </w:r>
      <w:r>
        <w:rPr>
          <w:b w:val="1"/>
          <w:color w:val="auto"/>
          <w:position w:val="0"/>
          <w:sz w:val="18"/>
          <w:szCs w:val="18"/>
          <w:rFonts w:ascii="Calibri" w:eastAsia="宋体" w:hAnsi="宋体" w:hint="default"/>
        </w:rPr>
        <w:t>需要修改关键步骤代码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ps：seajs全局变量有专门的配置文件，具体使用看文档。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  <w:autoSpaceDE w:val="1"/>
        <w:autoSpaceDN w:val="1"/>
      </w:pPr>
      <w:r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t>引用（网上的参考资料链接）：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18"/>
          <w:szCs w:val="18"/>
          <w:rFonts w:ascii="Calibri" w:eastAsia="宋体" w:hAnsi="宋体" w:hint="default"/>
        </w:rPr>
        <w:wordWrap w:val="off"/>
      </w:pPr>
      <w:hyperlink r:id="rId13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https://github.com/seajs/seajs/issues/242</w:t>
        </w:r>
      </w:hyperlink>
      <w:r>
        <w:rPr>
          <w:spacing w:val="0"/>
          <w:i w:val="0"/>
          <w:b w:val="0"/>
          <w:color w:val="646464"/>
          <w:position w:val="0"/>
          <w:sz w:val="21"/>
          <w:szCs w:val="21"/>
          <w:rFonts w:ascii="Tahoma" w:eastAsia="Tahoma" w:hAnsi="Tahoma" w:hint="default"/>
        </w:rPr>
        <w:br/>
      </w:r>
      <w:hyperlink r:id="rId14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https://github.com/seajs/seajs/issues/258</w:t>
        </w:r>
      </w:hyperlink>
      <w:r>
        <w:rPr>
          <w:spacing w:val="0"/>
          <w:i w:val="0"/>
          <w:b w:val="0"/>
          <w:color w:val="646464"/>
          <w:position w:val="0"/>
          <w:sz w:val="21"/>
          <w:szCs w:val="21"/>
          <w:rFonts w:ascii="Tahoma" w:eastAsia="Tahoma" w:hAnsi="Tahoma" w:hint="default"/>
        </w:rPr>
        <w:br/>
      </w:r>
      <w:hyperlink r:id="rId15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https://github.com/seajs/seajs/issues/263</w:t>
        </w:r>
      </w:hyperlink>
      <w:r>
        <w:rPr>
          <w:spacing w:val="0"/>
          <w:i w:val="0"/>
          <w:b w:val="0"/>
          <w:color w:val="646464"/>
          <w:position w:val="0"/>
          <w:sz w:val="21"/>
          <w:szCs w:val="21"/>
          <w:rFonts w:ascii="Tahoma" w:eastAsia="Tahoma" w:hAnsi="Tahoma" w:hint="default"/>
        </w:rPr>
        <w:br/>
      </w:r>
      <w:hyperlink r:id="rId16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https://github.com/seajs/seajs/issues/266</w:t>
        </w:r>
      </w:hyperlink>
      <w:r>
        <w:rPr>
          <w:spacing w:val="0"/>
          <w:i w:val="0"/>
          <w:b w:val="0"/>
          <w:color w:val="646464"/>
          <w:position w:val="0"/>
          <w:sz w:val="21"/>
          <w:szCs w:val="21"/>
          <w:rFonts w:ascii="Tahoma" w:eastAsia="Tahoma" w:hAnsi="Tahoma" w:hint="default"/>
        </w:rPr>
        <w:br/>
      </w:r>
      <w:hyperlink r:id="rId17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https://github.com/seajs/seajs/issues/277</w:t>
        </w:r>
      </w:hyperlink>
      <w:r>
        <w:rPr>
          <w:spacing w:val="0"/>
          <w:i w:val="0"/>
          <w:b w:val="0"/>
          <w:color w:val="646464"/>
          <w:position w:val="0"/>
          <w:sz w:val="21"/>
          <w:szCs w:val="21"/>
          <w:rFonts w:ascii="Tahoma" w:eastAsia="Tahoma" w:hAnsi="Tahoma" w:hint="default"/>
        </w:rPr>
        <w:br/>
      </w:r>
      <w:hyperlink r:id="rId18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http://www.zhihu.com/question/21157540</w:t>
        </w:r>
      </w:hyperlink>
      <w:r>
        <w:rPr>
          <w:spacing w:val="0"/>
          <w:i w:val="0"/>
          <w:b w:val="0"/>
          <w:color w:val="646464"/>
          <w:position w:val="0"/>
          <w:sz w:val="21"/>
          <w:szCs w:val="21"/>
          <w:rFonts w:ascii="Tahoma" w:eastAsia="Tahoma" w:hAnsi="Tahoma" w:hint="default"/>
        </w:rPr>
        <w:br/>
      </w:r>
      <w:hyperlink r:id="rId19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http://annn.me/how-to-realize-cmd-loader/</w:t>
        </w:r>
      </w:hyperlink>
      <w:r>
        <w:rPr>
          <w:spacing w:val="0"/>
          <w:i w:val="0"/>
          <w:b w:val="0"/>
          <w:color w:val="646464"/>
          <w:position w:val="0"/>
          <w:sz w:val="21"/>
          <w:szCs w:val="21"/>
          <w:rFonts w:ascii="Tahoma" w:eastAsia="Tahoma" w:hAnsi="Tahoma" w:hint="default"/>
        </w:rPr>
        <w:br/>
      </w:r>
      <w:hyperlink r:id="rId20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http://chaoskeh.com/blog/why-its-hard-to-combo-seajs-modules.html</w:t>
        </w:r>
      </w:hyperlink>
      <w:r>
        <w:rPr>
          <w:spacing w:val="0"/>
          <w:i w:val="0"/>
          <w:b w:val="0"/>
          <w:color w:val="646464"/>
          <w:position w:val="0"/>
          <w:sz w:val="21"/>
          <w:szCs w:val="21"/>
          <w:rFonts w:ascii="Tahoma" w:eastAsia="Tahoma" w:hAnsi="Tahoma" w:hint="default"/>
        </w:rPr>
        <w:br/>
      </w:r>
      <w:hyperlink r:id="rId21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https://github.com/cmdjs/specification/blob/master/draft/module.md</w:t>
        </w:r>
      </w:hyperlink>
      <w:r>
        <w:rPr>
          <w:spacing w:val="0"/>
          <w:i w:val="0"/>
          <w:b w:val="0"/>
          <w:color w:val="646464"/>
          <w:position w:val="0"/>
          <w:sz w:val="21"/>
          <w:szCs w:val="21"/>
          <w:rFonts w:ascii="Tahoma" w:eastAsia="Tahoma" w:hAnsi="Tahoma" w:hint="default"/>
        </w:rPr>
        <w:br/>
      </w:r>
      <w:hyperlink r:id="rId22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https://www.douban.com/note/283566440/</w:t>
        </w:r>
      </w:hyperlink>
      <w:r>
        <w:rPr>
          <w:spacing w:val="0"/>
          <w:i w:val="0"/>
          <w:b w:val="0"/>
          <w:color w:val="646464"/>
          <w:position w:val="0"/>
          <w:sz w:val="21"/>
          <w:szCs w:val="21"/>
          <w:rFonts w:ascii="Tahoma" w:eastAsia="Tahoma" w:hAnsi="Tahoma" w:hint="default"/>
        </w:rPr>
        <w:br/>
      </w:r>
      <w:hyperlink r:id="rId23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https://imququ.com/post/amd-simplified-commonjs-wrapping.html</w:t>
        </w:r>
      </w:hyperlink>
      <w:r>
        <w:rPr>
          <w:spacing w:val="0"/>
          <w:i w:val="0"/>
          <w:b w:val="0"/>
          <w:color w:val="646464"/>
          <w:position w:val="0"/>
          <w:sz w:val="21"/>
          <w:szCs w:val="21"/>
          <w:rFonts w:ascii="Tahoma" w:eastAsia="Tahoma" w:hAnsi="Tahoma" w:hint="default"/>
        </w:rPr>
        <w:br/>
      </w:r>
      <w:hyperlink r:id="rId24"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https://lifesinger.wordpress.com/2011/05/17/the-difference-between-seajs-and-</w:t>
        </w:r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r</w:t>
        </w:r>
        <w:r>
          <w:rPr>
            <w:spacing w:val="0"/>
            <w:i w:val="0"/>
            <w:b w:val="0"/>
            <w:color w:val="333333"/>
            <w:position w:val="0"/>
            <w:sz w:val="21"/>
            <w:szCs w:val="21"/>
            <w:rFonts w:ascii="inherit" w:eastAsia="inherit" w:hAnsi="inherit" w:hint="default"/>
          </w:rPr>
          <w:t>equirejs/</w:t>
        </w:r>
      </w:hyperlink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0570941.png"></Relationship><Relationship Id="rId6" Type="http://schemas.openxmlformats.org/officeDocument/2006/relationships/image" Target="media/fImage12422118467.png"></Relationship><Relationship Id="rId7" Type="http://schemas.openxmlformats.org/officeDocument/2006/relationships/image" Target="media/fImage23853126334.png"></Relationship><Relationship Id="rId8" Type="http://schemas.openxmlformats.org/officeDocument/2006/relationships/image" Target="media/fImage20802146500.png"></Relationship><Relationship Id="rId9" Type="http://schemas.openxmlformats.org/officeDocument/2006/relationships/image" Target="media/fImage40438179169.png"></Relationship><Relationship Id="rId10" Type="http://schemas.openxmlformats.org/officeDocument/2006/relationships/image" Target="media/fImage19835185724.png"></Relationship><Relationship Id="rId11" Type="http://schemas.openxmlformats.org/officeDocument/2006/relationships/image" Target="media/fImage33844211478.png"></Relationship><Relationship Id="rId12" Type="http://schemas.openxmlformats.org/officeDocument/2006/relationships/image" Target="media/fImage20606229358.png"></Relationship><Relationship Id="rId13" Type="http://schemas.openxmlformats.org/officeDocument/2006/relationships/hyperlink" Target="https://github.com/seajs/seajs/issues/242" TargetMode="External"></Relationship><Relationship Id="rId14" Type="http://schemas.openxmlformats.org/officeDocument/2006/relationships/hyperlink" Target="https://github.com/seajs/seajs/issues/258" TargetMode="External"></Relationship><Relationship Id="rId15" Type="http://schemas.openxmlformats.org/officeDocument/2006/relationships/hyperlink" Target="https://github.com/seajs/seajs/issues/263" TargetMode="External"></Relationship><Relationship Id="rId16" Type="http://schemas.openxmlformats.org/officeDocument/2006/relationships/hyperlink" Target="https://github.com/seajs/seajs/issues/266" TargetMode="External"></Relationship><Relationship Id="rId17" Type="http://schemas.openxmlformats.org/officeDocument/2006/relationships/hyperlink" Target="https://github.com/seajs/seajs/issues/277" TargetMode="External"></Relationship><Relationship Id="rId18" Type="http://schemas.openxmlformats.org/officeDocument/2006/relationships/hyperlink" Target="http://www.zhihu.com/question/21157540" TargetMode="External"></Relationship><Relationship Id="rId19" Type="http://schemas.openxmlformats.org/officeDocument/2006/relationships/hyperlink" Target="http://annn.me/how-to-realize-cmd-loader/" TargetMode="External"></Relationship><Relationship Id="rId20" Type="http://schemas.openxmlformats.org/officeDocument/2006/relationships/hyperlink" Target="http://chaoskeh.com/blog/why-its-hard-to-combo-seajs-modules.html" TargetMode="External"></Relationship><Relationship Id="rId21" Type="http://schemas.openxmlformats.org/officeDocument/2006/relationships/hyperlink" Target="https://github.com/cmdjs/specification/blob/master/draft/module.md" TargetMode="External"></Relationship><Relationship Id="rId22" Type="http://schemas.openxmlformats.org/officeDocument/2006/relationships/hyperlink" Target="https://www.douban.com/note/283566440/" TargetMode="External"></Relationship><Relationship Id="rId23" Type="http://schemas.openxmlformats.org/officeDocument/2006/relationships/hyperlink" Target="https://imququ.com/post/amd-simplified-commonjs-wrapping.html" TargetMode="External"></Relationship><Relationship Id="rId24" Type="http://schemas.openxmlformats.org/officeDocument/2006/relationships/hyperlink" Target="https://lifesinger.wordpress.com/2011/05/17/the-difference-between-seajs-and-requirejs/" TargetMode="External"></Relationship><Relationship Id="rId2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5</Pages>
  <Paragraphs>0</Paragraphs>
  <Words>5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