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385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fig-2-hormones"/>
      <w:r>
        <w:t xml:space="preserve">Fig 2: hormones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401e181dc60a674d2513982782a26b39354144a"/>
      <w:r>
        <w:t xml:space="preserve">Figure 3: general rnaseq pattern, tissue &gt; sex &gt; stage</w:t>
      </w:r>
      <w:bookmarkEnd w:id="27"/>
    </w:p>
    <w:p>
      <w:pPr>
        <w:pStyle w:val="FirstParagraph"/>
      </w:pPr>
      <w:r>
        <w:rPr>
          <w:i/>
        </w:rPr>
        <w:t xml:space="preserve">Needs to be replaced with a better PCA plot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limma/plotMDS-colo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f5815fa159c699b7f6f851872c46a59b977db11"/>
      <w:r>
        <w:t xml:space="preserve">Figure 4: model showing ability to predict non-parental, egg care, and nestingling care</w:t>
      </w:r>
      <w:bookmarkEnd w:id="29"/>
    </w:p>
    <w:p>
      <w:pPr>
        <w:pStyle w:val="FirstParagraph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0a6f050643c70e3cd8ea6f550d61f3d5641062d"/>
      <w:r>
        <w:t xml:space="preserve">Figure 5: PRL in prolatin mirrors PRL in bloo</w:t>
      </w:r>
      <w:bookmarkEnd w:id="31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9bae9c602178fcbcf790944cd2f041dbf3c0a84"/>
      <w:r>
        <w:t xml:space="preserve">Figure 6: many genes mirror the PRL expression pattern</w:t>
      </w:r>
      <w:bookmarkEnd w:id="3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discussion"/>
      <w:r>
        <w:t xml:space="preserve">Discussion</w:t>
      </w:r>
      <w:bookmarkEnd w:id="35"/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Heading2"/>
      </w:pPr>
      <w:bookmarkStart w:id="38" w:name="data-availabilty"/>
      <w:r>
        <w:t xml:space="preserve">Data availabilty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2019-10-11T05:27:21Z</dcterms:created>
  <dcterms:modified xsi:type="dcterms:W3CDTF">2019-10-11T05:27:21Z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