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433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samplingtimepoi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f4d16c12cab061e50dd19650b21270ff5b5c9bf"/>
      <w:r>
        <w:t xml:space="preserve">Fig 2: circulating prolactin peaks at hatch in M and F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hormo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ddee191b662aa670f534411b54077ce3182e90d"/>
      <w:r>
        <w:t xml:space="preserve">Fig 2 supplement. CORT but not E,T, or P respond significantly to treatment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hormo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discussion"/>
      <w:r>
        <w:t xml:space="preserve">Discussion</w:t>
      </w:r>
      <w:bookmarkEnd w:id="29"/>
    </w:p>
    <w:p>
      <w:pPr>
        <w:pStyle w:val="Heading2"/>
      </w:pPr>
      <w:bookmarkStart w:id="30" w:name="conclusion"/>
      <w:r>
        <w:t xml:space="preserve">Conclusion</w:t>
      </w:r>
      <w:bookmarkEnd w:id="30"/>
    </w:p>
    <w:p>
      <w:pPr>
        <w:pStyle w:val="Heading2"/>
      </w:pPr>
      <w:bookmarkStart w:id="31" w:name="acknowledgements"/>
      <w:r>
        <w:t xml:space="preserve">Acknowledgements</w:t>
      </w:r>
      <w:bookmarkEnd w:id="31"/>
    </w:p>
    <w:p>
      <w:pPr>
        <w:pStyle w:val="Heading2"/>
      </w:pPr>
      <w:bookmarkStart w:id="32" w:name="data-availabilty"/>
      <w:r>
        <w:t xml:space="preserve">Data availabilty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2019-10-11T03:00:01Z</dcterms:created>
  <dcterms:modified xsi:type="dcterms:W3CDTF">2019-10-11T03:00:01Z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