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orp-4.0.0-application-note-working-draft"/>
    <w:p>
      <w:pPr>
        <w:pStyle w:val="Heading1"/>
      </w:pPr>
      <w:r>
        <w:t xml:space="preserve">ORP 4.0.0: application note (working draft)</w:t>
      </w:r>
    </w:p>
    <w:p>
      <w:pPr>
        <w:pStyle w:val="FirstParagraph"/>
      </w:pPr>
      <w:r>
        <w:t xml:space="preserve">Working draft, 23 October 2026 (updated to the 59-dataset handoff)</w:t>
      </w:r>
    </w:p>
    <w:bookmarkStart w:id="20" w:name="title-and-abstract"/>
    <w:p>
      <w:pPr>
        <w:pStyle w:val="Heading2"/>
      </w:pPr>
      <w:r>
        <w:t xml:space="preserve">Title and abstract</w:t>
      </w:r>
    </w:p>
    <w:p>
      <w:pPr>
        <w:pStyle w:val="FirstParagraph"/>
      </w:pPr>
      <w:r>
        <w:rPr>
          <w:bCs/>
          <w:b/>
        </w:rPr>
        <w:t xml:space="preserve">Working title:</w:t>
      </w:r>
      <w:r>
        <w:t xml:space="preserve"> </w:t>
      </w:r>
      <w:r>
        <w:t xml:space="preserve">The Oyster River Protocol revisited: ORP 4.0.0 improves completeness and reduces redundancy across 59 public transcriptomes</w:t>
      </w:r>
    </w:p>
    <w:p>
      <w:pPr>
        <w:pStyle w:val="BodyText"/>
      </w:pPr>
      <w:r>
        <w:rPr>
          <w:bCs/>
          <w:b/>
        </w:rPr>
        <w:t xml:space="preserve">Authors:</w:t>
      </w:r>
      <w:r>
        <w:t xml:space="preserve"> </w:t>
      </w:r>
      <w:r>
        <w:t xml:space="preserve">Matthew D. MacManes [add co-authors and affiliations]</w:t>
      </w:r>
    </w:p>
    <w:p>
      <w:pPr>
        <w:pStyle w:val="BodyText"/>
      </w:pPr>
      <w:r>
        <w:rPr>
          <w:bCs/>
          <w:b/>
        </w:rPr>
        <w:t xml:space="preserve">Motivation:</w:t>
      </w:r>
      <w:r>
        <w:t xml:space="preserve"> </w:t>
      </w:r>
      <w:r>
        <w:t xml:space="preserve">Thousands of de novo transcriptome assemblies deposited in the NCBI Transcriptome Shotgun Assembly (TSA) database were built with single-assembler workflows that are now a decade old. The Oyster River Protocol (ORP) was introduced to improve on these by merging assemblies from several tools and k-mer lengths, but its original implementation produced large, highly redundant assemblies. We developed ORP 4.0.0, which adds automatic k-mer selection for SPAdes, a revised merge step and a depth-scaled coverage filter, and asked how much it changes assembly quality relative to both deposited assemblies and the original ORP.</w:t>
      </w:r>
    </w:p>
    <w:p>
      <w:pPr>
        <w:pStyle w:val="BodyText"/>
      </w:pPr>
      <w:r>
        <w:rPr>
          <w:bCs/>
          <w:b/>
        </w:rPr>
        <w:t xml:space="preserve">Results:</w:t>
      </w:r>
      <w:r>
        <w:t xml:space="preserve"> </w:t>
      </w:r>
      <w:r>
        <w:t xml:space="preserve">We re-assembled 59 public RNA-seq datasets from six taxonomic groups with ORP 4.0.0 and paired each with a previous assembly of the same reads: 44 deposited TSA assemblies and all 15 assemblies from the original ORP study. Every assembly was evaluated with BUSCO (v6.1.0) against the most specific lineage dataset available for its group, with pyTransRate against the same reads, and by the number of distinct Swiss-Prot genes recovered. Relative to deposited TSA assemblies, ORP 4.0.0 assemblies were more complete in all 44 datasets (median 74.0% vs 58.5% complete), recovered more distinct genes in all 44 (12,140 vs 8,942), were less redundant (4.8% vs 13.8% duplicated BUSCOs), had a higher pyTransRate score (0.44 vs 0.25) and more read pairs mapping concordantly (88.5% vs 71.4%; all comparisons q ≤ 0.002). Relative to the original ORP, ORP 4.0.0 had fewer contigs in all 15 datasets (median 89,000 vs 147,000) and less BUSCO duplication in 14 (13.0% vs 23.8%), while completeness rose in all 15, from 75.7% to 86.7%, and concordant read mapping did not change (88.9% vs 89.6%). Against the four assemblies it merges, ORP 4.0.0 was more complete than the best of them in 53 of 59 datasets and recovered more genes in 57, while matching rather than exceeding their best read support. A median run took 7.1 hours on 32 cores.</w:t>
      </w:r>
    </w:p>
    <w:p>
      <w:pPr>
        <w:pStyle w:val="BodyText"/>
      </w:pPr>
      <w:r>
        <w:rPr>
          <w:bCs/>
          <w:b/>
        </w:rPr>
        <w:t xml:space="preserve">Availability and implementation:</w:t>
      </w:r>
      <w:r>
        <w:t xml:space="preserve"> </w:t>
      </w:r>
      <w:r>
        <w:t xml:space="preserve">[repository URL, license, container image, Zenodo DOI for assemblies]. All results are in Supplementary Data S1, and the code that draws Figure 1 is Supplementary File S2.</w:t>
      </w:r>
    </w:p>
    <w:p>
      <w:pPr>
        <w:pStyle w:val="BodyText"/>
      </w:pPr>
      <w:r>
        <w:rPr>
          <w:bCs/>
          <w:b/>
        </w:rPr>
        <w:t xml:space="preserve">Supplementary information:</w:t>
      </w:r>
      <w:r>
        <w:t xml:space="preserve"> </w:t>
      </w:r>
      <w:r>
        <w:t xml:space="preserve">Supplementary data are available at</w:t>
      </w:r>
      <w:r>
        <w:t xml:space="preserve"> </w:t>
      </w:r>
      <w:r>
        <w:rPr>
          <w:iCs/>
          <w:i/>
        </w:rPr>
        <w:t xml:space="preserve">Bioinformatics</w:t>
      </w:r>
      <w:r>
        <w:t xml:space="preserve"> </w:t>
      </w:r>
      <w:r>
        <w:t xml:space="preserve">online.</w:t>
      </w:r>
    </w:p>
    <w:bookmarkEnd w:id="20"/>
    <w:bookmarkStart w:id="21" w:name="introduction"/>
    <w:p>
      <w:pPr>
        <w:pStyle w:val="Heading2"/>
      </w:pPr>
      <w:r>
        <w:t xml:space="preserve">1 Introduction</w:t>
      </w:r>
    </w:p>
    <w:p>
      <w:pPr>
        <w:pStyle w:val="FirstParagraph"/>
      </w:pPr>
      <w:r>
        <w:t xml:space="preserve">De novo transcriptome assembly remains the main route to gene models for the large majority of eukaryotes that lack a reference genome. Public archives now hold thousands of such assemblies. Most of those in the NCBI Transcriptome Shotgun Assembly (TSA) database were produced between 2012 and 2016, typically with a single assembler run at a single k-mer length, often Trinity (Grabherr et al., 2011). These assemblies are widely reused for phylogenomics, gene family analysis and as references for expression studies, so their quality propagates into downstream work.</w:t>
      </w:r>
    </w:p>
    <w:p>
      <w:pPr>
        <w:pStyle w:val="BodyText"/>
      </w:pPr>
      <w:r>
        <w:t xml:space="preserve">No single assembler or k-mer length recovers every transcript well. Short k-mers favor lowly expressed transcripts; long k-mers resolve repeats and paralogs. The Oyster River Protocol (ORP; MacManes, 2018) addressed this by building several assemblies with different tools and k-mer lengths and merging them into one reference. The original ORP improved completeness and read support relative to single-assembler output, but merging left many near-identical contigs. In the 15 original ORP assemblies re-evaluated here (below), the median assembly held 147,000 contigs, and 24% of conserved single-copy orthologs from the relevant BUSCO lineage were present in more than one copy. That redundancy complicates read assignment and inflates gene counts.</w:t>
      </w:r>
    </w:p>
    <w:p>
      <w:pPr>
        <w:pStyle w:val="BodyText"/>
      </w:pPr>
      <w:r>
        <w:t xml:space="preserve">We have since released ORP 4.0.0. Section 2 summarizes what changed; the two changes that most affect assembly content are per-dataset k-mer selection for rnaSPAdes and a new gene-based merging step. Here we report a systematic comparison of ORP 4.0.0 against (i) the assemblies deposited in TSA for the same read sets and (ii) the assemblies produced by the original ORP. Both assemblies in each pair were scored with the same version of BUSCO against the same lineage-specific gene set, with the same version of pyTransRate against the same reads, and by the same count of distinct Swiss-Prot genes, so differences reflect the assemblies rather than the evaluation.</w:t>
      </w:r>
    </w:p>
    <w:bookmarkEnd w:id="21"/>
    <w:bookmarkStart w:id="22" w:name="changes-since-the-original-orp"/>
    <w:p>
      <w:pPr>
        <w:pStyle w:val="Heading2"/>
      </w:pPr>
      <w:r>
        <w:t xml:space="preserve">2 Changes since the original ORP</w:t>
      </w:r>
    </w:p>
    <w:p>
      <w:pPr>
        <w:pStyle w:val="FirstParagraph"/>
      </w:pPr>
      <w:r>
        <w:t xml:space="preserve">The ORP described by MacManes (2018) was a GNU Make workflow. It assembled error-corrected reads with Trinity 2.4.0, rnaSPAdes 3.10 at k = 55 and k = 75, and Shannon 0.0.2. It then merged the four assemblies with OrthoFuse, which grouped contigs into orthogroups with a modified OrthoFinder and kept the contig with the highest TransRate score from each group. ORP 4.0.0 keeps the multi-assembler design but changes how the assemblies are built and merged, and how the pipeline itself runs.</w:t>
      </w:r>
    </w:p>
    <w:p>
      <w:pPr>
        <w:pStyle w:val="BodyText"/>
      </w:pPr>
      <w:r>
        <w:rPr>
          <w:bCs/>
          <w:b/>
        </w:rPr>
        <w:t xml:space="preserve">Assemblers and k-mer selection.</w:t>
      </w:r>
      <w:r>
        <w:t xml:space="preserve"> </w:t>
      </w:r>
      <w:r>
        <w:t xml:space="preserve">Trans-ABySS replaced Shannon in 2018. The two rnaSPAdes runs no longer use fixed k-mers, because a fixed k means something different at each read length: k = 75 is half of a 150 bp read but 74% of a 101 bp read. The first run lets rnaSPAdes choose its own pair of k-mers, about one third and one half of the maximum read length. The second uses 60% and 75% of the maximum read length, resolved for each dataset.</w:t>
      </w:r>
    </w:p>
    <w:p>
      <w:pPr>
        <w:pStyle w:val="BodyText"/>
      </w:pPr>
      <w:r>
        <w:rPr>
          <w:bCs/>
          <w:b/>
        </w:rPr>
        <w:t xml:space="preserve">Merging by gene rather than by orthogroup.</w:t>
      </w:r>
      <w:r>
        <w:t xml:space="preserve"> </w:t>
      </w:r>
      <w:r>
        <w:t xml:space="preserve">Orthogroups did not map cleanly onto genes. Some split one gene across several groups, which inflated duplicated BUSCOs; others combined several genes, so keeping one member discarded the rest. ORP 4.0.0 instead groups contigs by the Swiss-Prot gene of their best DIAMOND hit. Each gene keeps one representative, the longest contig whose hit covers close to the best fraction of the protein, plus up to two copies that are distinct from it and expressed (at least 1 TPM), to retain isoforms and paralogs. Contigs without a Swiss-Prot hit are deduplicated with CD-HIT-EST on both strands and filtered on expression. The OrthoFinder merge remains available as an option.</w:t>
      </w:r>
    </w:p>
    <w:p>
      <w:pPr>
        <w:pStyle w:val="BodyText"/>
      </w:pPr>
      <w:r>
        <w:rPr>
          <w:bCs/>
          <w:b/>
        </w:rPr>
        <w:t xml:space="preserve">Filtering contigs without a protein hit by coverage.</w:t>
      </w:r>
      <w:r>
        <w:t xml:space="preserve"> </w:t>
      </w:r>
      <w:r>
        <w:t xml:space="preserve">Contigs with no Swiss-Prot hit are mostly poorly supported fragments, though some can be real transcripts. ORP 4.0.0 keeps such a contig only if its read coverage (salmon read count × mean fragment length / contig length) reaches the threshold set by –min-cov. Earlier versions offered only a TPM cutoff, which was off by default. TPM is a share of a million reads, so a fixed cutoff means different things in different samples: across 119 final assemblies, 1 TPM corresponded to between 4 and 183 reads per kilobase, mostly following sequencing depth. Coverage does not have that problem, but noise contigs still gain coverage as depth rises, so by default the threshold scales with the number of read pairs salmon quantified, as max(1, 2 × (pairs / 60 million)^0.85). That gives 1 for libraries up to about 27 million pairs, 2 at 60 million, 3.6 at 120 million and 11.7 at 480 million. The exponent comes from nested read subsamples of two deep libraries (480 and 200 million pairs): in both, the coverage at which no-hit contigs began to carry more long open reading frames than shuffled sequence rose with depth at an exponent of 0.8 to 0.9. Because the filter removes only contigs without a Swiss-Prot hit, it leaves BUSCO completeness and the number of unique genes unchanged. On five test libraries of 16 to 123 million read pairs, a coverage threshold of 2 removed four to six times fewer no-hit contigs than a 1-TPM cutoff on the deeper libraries and scored within 0.03 of it on pyTransRate. A fixed threshold can still be given, and –min-cov 0 turns the filter off.</w:t>
      </w:r>
    </w:p>
    <w:p>
      <w:pPr>
        <w:pStyle w:val="BodyText"/>
      </w:pPr>
      <w:r>
        <w:rPr>
          <w:bCs/>
          <w:b/>
        </w:rPr>
        <w:t xml:space="preserve">Rewrite from Make to Python.</w:t>
      </w:r>
      <w:r>
        <w:t xml:space="preserve"> </w:t>
      </w:r>
      <w:r>
        <w:t xml:space="preserve">The original ORP was a single GNU Make file that ran its steps one after another. ORP 4.0.0 replaces it with a Python program, oyster.py, that tracks every step’s inputs and outputs. A failed or interrupted run can be restarted and skips any step whose outputs are already complete. Failed steps are retried automatically, which matters on shared clusters where many failures are transient. Independent stages now run concurrently within a set CPU and memory budget: Trinity’s two phases are each paired with other assemblers, and later scoring and evaluation steps overlap. A preflight check confirms that every required tool is installed before any work begins, and intermediate files are removed or compressed as soon as they are no longer needed. The rewrite also made a companion program, chowder, possible. It runs the ORP 4.0.0 merging and evaluation steps on assemblies a user already has, given the reads they were built from, using the same code as a full run.</w:t>
      </w:r>
    </w:p>
    <w:p>
      <w:pPr>
        <w:pStyle w:val="BodyText"/>
      </w:pPr>
      <w:r>
        <w:rPr>
          <w:bCs/>
          <w:b/>
        </w:rPr>
        <w:t xml:space="preserve">Run time.</w:t>
      </w:r>
      <w:r>
        <w:t xml:space="preserve"> </w:t>
      </w:r>
      <w:r>
        <w:t xml:space="preserve">In earlier versions, most of a run went to Trinity’s second phase, which assembles each read cluster separately but, when Trinity was installed from bioconda, ran those clusters one at a time whatever the number of cores. ORP 4.0.0 builds Trinity from source, so phase 2 runs its clusters in parallel; on a benchmark library (SRR1789336) phase 2 fell from about 34 hours to about 2. With Trinity no longer dominating, ORP 4.0.0 schedules the assemblers in lanes rather than one after another. Trans-ABySS, which is largely single-threaded, starts at the beginning of the assembly stage on its own share of the cores and can optionally run under MPI (–transabyss-mpi), while Trinity’s first phase runs beside the two rnaSPAdes assemblies. If the Trans-ABySS lane finishes while phase 2 still has at least 15% of its clusters left, phase 2 is restarted on all cores and skips the clusters already finished; this recovered about 5 hours of wall time across eight test runs. After assembly, short steps such as the strand check run beside long ones instead of taking half of their cores, two DIAMOND searches are replaced by lookups of hits already computed for each component assembly, and pyTransRate 2.1 scores alignments 1.9 times and contigs 5.3 times faster than its first release. On the 59 datasets compared below, a complete ORP 4.0.0 run took a median of 7.1 hours (interquartile range 4.7–11.3; range 2.1–33.5) on 32 cores, with a median of 46 GB of peak memory. Wall time rose with read depth (r = 0.83 between log read pairs and log hours); per-run times are in Supplementary Data S1 (sheet RunTime). [Add CPU-hours for all 59 runs, and the previous release’s run time on the same libraries.]</w:t>
      </w:r>
    </w:p>
    <w:p>
      <w:pPr>
        <w:pStyle w:val="BodyText"/>
      </w:pPr>
      <w:r>
        <w:t xml:space="preserve">The full change history is in the repository’s changelog [URL].</w:t>
      </w:r>
    </w:p>
    <w:bookmarkEnd w:id="22"/>
    <w:bookmarkStart w:id="23" w:name="methods"/>
    <w:p>
      <w:pPr>
        <w:pStyle w:val="Heading2"/>
      </w:pPr>
      <w:r>
        <w:t xml:space="preserve">3 Methods</w:t>
      </w:r>
    </w:p>
    <w:p>
      <w:pPr>
        <w:pStyle w:val="FirstParagraph"/>
      </w:pPr>
      <w:r>
        <w:rPr>
          <w:bCs/>
          <w:b/>
        </w:rPr>
        <w:t xml:space="preserve">Datasets.</w:t>
      </w:r>
      <w:r>
        <w:t xml:space="preserve"> </w:t>
      </w:r>
      <w:r>
        <w:t xml:space="preserve">We selected 59 paired-end Illumina RNA-seq runs from the Sequence Read Archive in six groups, so that each could be scored against a lineage-specific BUSCO dataset: mammals (8), non-mammal vertebrates (9), insects (10), land plants (14), echinoderms (10), and eight other taxa (an amphipod, a spider, a fungus, two flatworms, a polychaete, a nematode and an amoeba). Forty-four runs underlie a TSA assembly, identified through the TSA record’s linked BioProject and run accessions, and 15 are all the libraries assembled in the original ORP study (MacManes, 2018). Runs with reads shorter than 76 bp were excluded (one TSA dataset,</w:t>
      </w:r>
      <w:r>
        <w:t xml:space="preserve"> </w:t>
      </w:r>
      <w:r>
        <w:rPr>
          <w:iCs/>
          <w:i/>
        </w:rPr>
        <w:t xml:space="preserve">Hynobius</w:t>
      </w:r>
      <w:r>
        <w:t xml:space="preserve">, whose second reads were 62 bp). [State remaining selection criteria: date range, minimum depth.] ORP 4.0.0 finished for all 59 runs, which span 57 species (</w:t>
      </w:r>
      <w:r>
        <w:rPr>
          <w:iCs/>
          <w:i/>
        </w:rPr>
        <w:t xml:space="preserve">Anolis carolinensis</w:t>
      </w:r>
      <w:r>
        <w:t xml:space="preserve"> </w:t>
      </w:r>
      <w:r>
        <w:t xml:space="preserve">and</w:t>
      </w:r>
      <w:r>
        <w:t xml:space="preserve"> </w:t>
      </w:r>
      <w:r>
        <w:rPr>
          <w:iCs/>
          <w:i/>
        </w:rPr>
        <w:t xml:space="preserve">Mus musculus</w:t>
      </w:r>
      <w:r>
        <w:t xml:space="preserve"> </w:t>
      </w:r>
      <w:r>
        <w:t xml:space="preserve">are each represented by two libraries) and 6.6 to 206 million read pairs (median 40.0 million).</w:t>
      </w:r>
    </w:p>
    <w:p>
      <w:pPr>
        <w:pStyle w:val="BodyText"/>
      </w:pPr>
      <w:r>
        <w:rPr>
          <w:bCs/>
          <w:b/>
        </w:rPr>
        <w:t xml:space="preserve">Assembly.</w:t>
      </w:r>
      <w:r>
        <w:t xml:space="preserve"> </w:t>
      </w:r>
      <w:r>
        <w:t xml:space="preserve">Each run was assembled with ORP 4.0.0 with the same settings for every dataset: the defaults described in Section 2, which leave Trinity’s read normalization off and filter contigs without a Swiss-Prot hit at the depth-scaled coverage threshold (–min-cov auto), no TPM filter, Trans-ABySS under MPI (–transabyss-mpi on), 32 CPUs and 190 GB of memory. Fifty runs used the release candidate (commit e88d037) and the nine ORP 2018 libraries added last used the tagged v4.0.0 release (commit b9459aa); the only code changes between the two were resume handling and a startup banner, neither of which affects the output of a fresh run. The coverage threshold was 1 for 15 libraries (up to 35 million read pairs, because the formula counts the pairs salmon quantified after trimming rather than the pairs in the run) and above 2 for 15 of the 16 above 60 million, up to 5.6 for the deepest (206 million pairs; median 1.4). Reads were adapter- and quality-trimmed with Trimmomatic 0.41 (LEADING:3, TRAILING:3, ILLUMINACLIP 2:30:10, MINLEN:25) and error-corrected with Rcorrector 1.0.7. Component assemblies were built with Trinity 2.15.2, rnaSPAdes 4.3.0 (Bushmanova et al., 2019) and Trans-ABySS 2.0.1 and merged as described in Section 2, with DIAMOND 2.2.5 and CD-HIT 4.8.1, to produce one ORP assembly per run. For one</w:t>
      </w:r>
      <w:r>
        <w:t xml:space="preserve"> </w:t>
      </w:r>
      <w:r>
        <w:rPr>
          <w:iCs/>
          <w:i/>
        </w:rPr>
        <w:t xml:space="preserve">Anolis</w:t>
      </w:r>
      <w:r>
        <w:t xml:space="preserve"> </w:t>
      </w:r>
      <w:r>
        <w:t xml:space="preserve">run (GAGA), the reads served by the SRA carried placeholder quality scores; we rebuilt them from NCBI’s original-quality object with fasterq-dump before assembly. SRA run and TSA accessions, BUSCO lineage, read pairs and coverage threshold for every dataset are listed in Supplementary Data S1 (sheet Datasets); ORP 4.0.0 assemblies are archived at [Zenodo DOI].</w:t>
      </w:r>
    </w:p>
    <w:p>
      <w:pPr>
        <w:pStyle w:val="BodyText"/>
      </w:pPr>
      <w:r>
        <w:rPr>
          <w:bCs/>
          <w:b/>
        </w:rPr>
        <w:t xml:space="preserve">Previous assemblies.</w:t>
      </w:r>
      <w:r>
        <w:t xml:space="preserve"> </w:t>
      </w:r>
      <w:r>
        <w:t xml:space="preserve">TSA assemblies were downloaded from NCBI as deposited. Original ORP assemblies were taken from the archive of the 2018 study (doi:10.5281/zenodo.1320141). Two TSA assemblies of</w:t>
      </w:r>
      <w:r>
        <w:t xml:space="preserve"> </w:t>
      </w:r>
      <w:r>
        <w:rPr>
          <w:iCs/>
          <w:i/>
        </w:rPr>
        <w:t xml:space="preserve">Anolis carolinensis</w:t>
      </w:r>
      <w:r>
        <w:t xml:space="preserve"> </w:t>
      </w:r>
      <w:r>
        <w:t xml:space="preserve">(GAGA and GAGB) contained duplicate sequence names, which BUSCO rejects; duplicates were removed before scoring (GAGA, 1,135,207 to 735,899 sequences; GAGB, 2,056,067 to 1,195,995).</w:t>
      </w:r>
    </w:p>
    <w:p>
      <w:pPr>
        <w:pStyle w:val="BodyText"/>
      </w:pPr>
      <w:r>
        <w:rPr>
          <w:bCs/>
          <w:b/>
        </w:rPr>
        <w:t xml:space="preserve">Evaluation.</w:t>
      </w:r>
      <w:r>
        <w:t xml:space="preserve"> </w:t>
      </w:r>
      <w:r>
        <w:t xml:space="preserve">Previous and ORP 4.0.0 assemblies were evaluated identically. Gene-content completeness was measured with BUSCO v6.1.0 in transcriptome mode [cite], run offline with ORP’s own BUSCO configuration. Each pair was scored against the most specific dataset available for its group: mammalia_odb12 (12,277 genes), vertebrata_odb12 (3,390) and insecta_odb12 (3,114) from OrthoDB 12.1, and embryophyta_odb12.2 (1,658), metazoa_odb12.2 (932), crustacea_odb12.2 (2,255), arachnida_odb12.2 (1,046), lophotrochozoa_odb12.2 (1,329), nematoda_odb12.2 (1,477), amoebozoa_odb12.2 (309) and agaricales_odb12.2 (3,186) from OrthoDB 12.2. BUSCO has no echinoderm, flatworm or annelid dataset, so echinoderms were scored against metazoa, and the two flatworms and the polychaete against lophotrochozoa, which includes</w:t>
      </w:r>
      <w:r>
        <w:t xml:space="preserve"> </w:t>
      </w:r>
      <w:r>
        <w:rPr>
          <w:iCs/>
          <w:i/>
        </w:rPr>
        <w:t xml:space="preserve">Schistosoma mansoni</w:t>
      </w:r>
      <w:r>
        <w:t xml:space="preserve"> </w:t>
      </w:r>
      <w:r>
        <w:t xml:space="preserve">and</w:t>
      </w:r>
      <w:r>
        <w:t xml:space="preserve"> </w:t>
      </w:r>
      <w:r>
        <w:rPr>
          <w:iCs/>
          <w:i/>
        </w:rPr>
        <w:t xml:space="preserve">Echinococcus multilocularis</w:t>
      </w:r>
      <w:r>
        <w:t xml:space="preserve">. The amoebozoa dataset includes</w:t>
      </w:r>
      <w:r>
        <w:t xml:space="preserve"> </w:t>
      </w:r>
      <w:r>
        <w:rPr>
          <w:iCs/>
          <w:i/>
        </w:rPr>
        <w:t xml:space="preserve">Entamoeba histolytica</w:t>
      </w:r>
      <w:r>
        <w:t xml:space="preserve">; the nematoda dataset lacks</w:t>
      </w:r>
      <w:r>
        <w:t xml:space="preserve"> </w:t>
      </w:r>
      <w:r>
        <w:rPr>
          <w:iCs/>
          <w:i/>
        </w:rPr>
        <w:t xml:space="preserve">Heterorhabditis</w:t>
      </w:r>
      <w:r>
        <w:t xml:space="preserve"> </w:t>
      </w:r>
      <w:r>
        <w:t xml:space="preserve">but includes its closest relatives, the strongylids. Both assemblies in a pair were always scored against the same dataset, so differences within a pair are comparable, but completeness is not comparable between groups. The fungal library (GAGE) is annotated in TSA as</w:t>
      </w:r>
      <w:r>
        <w:t xml:space="preserve"> </w:t>
      </w:r>
      <w:r>
        <w:rPr>
          <w:iCs/>
          <w:i/>
        </w:rPr>
        <w:t xml:space="preserve">Termitomyces clypeatus</w:t>
      </w:r>
      <w:r>
        <w:t xml:space="preserve">, but the reads belong to</w:t>
      </w:r>
      <w:r>
        <w:t xml:space="preserve"> </w:t>
      </w:r>
      <w:r>
        <w:rPr>
          <w:iCs/>
          <w:i/>
        </w:rPr>
        <w:t xml:space="preserve">Apiospora malaysiana</w:t>
      </w:r>
      <w:r>
        <w:t xml:space="preserve">, an ascomycete; both of its assemblies were scored against the basidiomycete dataset agaricales_odb12.2 [rescore against sordariomycetes_odb12.2 before submission].</w:t>
      </w:r>
    </w:p>
    <w:p>
      <w:pPr>
        <w:pStyle w:val="BodyText"/>
      </w:pPr>
      <w:r>
        <w:t xml:space="preserve">Read-based quality was measured with pyTransRate 2.2.2 [cite/URL], a reimplementation of TransRate (Smith-Unna et al., 2016). Every assembly of a library, previous, ORP 4.0.0 and the four components, was scored with the command ORP runs on its own assembly and with that library’s trimmed and error-corrected reads from the ORP run, so all assemblies of a library were scored against the same reads. We report the proportion of read pairs that mapped, the proportion of good mappings (both mates aligned in the expected orientation and distance), the pyTransRate score, and the optimal score, which pyTransRate computes after removing poorly supported contigs. Contig counts were taken from pyTransRate’s assembly module. Gene recovery was counted as the number of distinct Swiss-Prot gene names among DIAMOND blastx hits (E ≤ 10⁻⁸, –top 0.1), with the search and count ORP runs on its own assemblies applied to both assemblies of each pair.</w:t>
      </w:r>
    </w:p>
    <w:p>
      <w:pPr>
        <w:pStyle w:val="BodyText"/>
      </w:pPr>
      <w:r>
        <w:rPr>
          <w:bCs/>
          <w:b/>
        </w:rPr>
        <w:t xml:space="preserve">Component assemblies.</w:t>
      </w:r>
      <w:r>
        <w:t xml:space="preserve"> </w:t>
      </w:r>
      <w:r>
        <w:t xml:space="preserve">To ask whether merging improves on its inputs, we also scored the four assemblies each ORP 4.0.0 run merges (Trinity, rnaSPAdes with automatic k, rnaSPAdes with high k, and Trans-ABySS) with ORP’s assembly_eval.py, which makes the same BUSCO and pyTransRate 2.2.2 calls as the pipeline. Each component was scored against its run’s lineage dataset and with its run’s trimmed and error-corrected reads, so component and ORP scores within a run are directly comparable. Unique genes for each component are the counts ORP computes for its own assemblers, and proper pairs are taken from ORP’s strand check. Besides comparing ORP with each assembler, we compared it with the best of its four assemblers in each run, chosen separately for every metric.</w:t>
      </w:r>
    </w:p>
    <w:p>
      <w:pPr>
        <w:pStyle w:val="BodyText"/>
      </w:pPr>
      <w:r>
        <w:rPr>
          <w:b/>
        </w:rPr>
        <w:t>Genes missing from the ORP count.</w:t>
      </w:r>
      <w:r>
        <w:t xml:space="preserve"> To see why a component can report genes that ORP does not, we reran DIAMOND on all five assemblies of each run with ORP's settings and listed every Swiss-Prot gene among the hits of at least one component but none of the ORP contigs. For each gene, one component contig whose hits included it was located in the ORP assembly with blastn (best match, with its identity and the fraction of the component contig it covered). A gene was classed as masked when that contig matched an ORP contig at ≥95% identity over ≥90% of its length and the gene's bitscore was below 90% of the ORP contig's best bitscore, the cutoff that --top 0.1 applies. Per-run counts are in Supplementary Data S1 (sheet Gene_masking).</w:t>
      </w:r>
    </w:p>
    <w:p>
      <w:pPr>
        <w:pStyle w:val="BodyText"/>
      </w:pPr>
      <w:r>
        <w:rPr>
          <w:bCs/>
          <w:b/>
        </w:rPr>
        <w:t xml:space="preserve">Statistics.</w:t>
      </w:r>
      <w:r>
        <w:t xml:space="preserve"> </w:t>
      </w:r>
      <w:r>
        <w:t xml:space="preserve">Each ORP 4.0.0 assembly was compared with the previous assembly of the same reads using two-sided Wilcoxon signed-rank tests. The TSA and original ORP comparisons were analyzed separately. P-values were adjusted across the 11 metrics in each panel of Table 1 using the Benjamini-Hochberg procedure. We report medians with interquartile ranges and the fraction of datasets in which the ORP 4.0.0 assembly scored higher. ORP 4.0.0 was compared with each of its four component assemblies in the same way, with P-values adjusted across the 11 metrics for each assembler. Per-dataset values for every metric are in Supplementary Data S1 (sheet Datasets), and the Wilcoxon P and q values for Tables 1 and 2 are in sheets Table1a, Table1b and ORP_vs_assembler. Analyses used Python 3.12 with pandas 3.0 and SciPy 1.18; the code (build_s1.py) is available at [URL]. Figure 1 was drawn with matplotlib from sheet Datasets of Supplementary Data S1 by make_figure1.py (Supplementary File S2).</w:t>
      </w:r>
    </w:p>
    <w:bookmarkEnd w:id="23"/>
    <w:bookmarkStart w:id="28" w:name="results"/>
    <w:p>
      <w:pPr>
        <w:pStyle w:val="Heading2"/>
      </w:pPr>
      <w:r>
        <w:t xml:space="preserve">4 Results</w:t>
      </w:r>
    </w:p>
    <w:bookmarkStart w:id="24" w:name="X96d40812f53ce3cca57eb402117b2d9cd6aeaa4"/>
    <w:p>
      <w:pPr>
        <w:pStyle w:val="Heading3"/>
      </w:pPr>
      <w:r>
        <w:t xml:space="preserve">4.1 ORP 4.0.0 versus deposited TSA assemblies</w:t>
      </w:r>
    </w:p>
    <w:p>
      <w:pPr>
        <w:pStyle w:val="FirstParagraph"/>
      </w:pPr>
      <w:r>
        <w:t xml:space="preserve">The ORP 4.0.0 assembly was more complete than the deposited TSA assembly in all 44 datasets (Fig. 1A). Median BUSCO completeness rose from 58.5% to 74.0% (Table 1a), a median gain of 15.0 percentage points. The number of datasets reaching at least 90% completeness rose from 3 to 12. Gains were often largest where the deposited assembly was weakest: of 16 TSA assemblies below 40% complete, nine reached at least 50% after re-assembly, including</w:t>
      </w:r>
      <w:r>
        <w:t xml:space="preserve"> </w:t>
      </w:r>
      <w:r>
        <w:rPr>
          <w:iCs/>
          <w:i/>
        </w:rPr>
        <w:t xml:space="preserve">Brassica juncea</w:t>
      </w:r>
      <w:r>
        <w:t xml:space="preserve"> </w:t>
      </w:r>
      <w:r>
        <w:t xml:space="preserve">(27.3% to 98.1%),</w:t>
      </w:r>
      <w:r>
        <w:t xml:space="preserve"> </w:t>
      </w:r>
      <w:r>
        <w:rPr>
          <w:iCs/>
          <w:i/>
        </w:rPr>
        <w:t xml:space="preserve">Avena sativa</w:t>
      </w:r>
      <w:r>
        <w:t xml:space="preserve"> </w:t>
      </w:r>
      <w:r>
        <w:t xml:space="preserve">(30.2% to 91.6%) and</w:t>
      </w:r>
      <w:r>
        <w:t xml:space="preserve"> </w:t>
      </w:r>
      <w:r>
        <w:rPr>
          <w:iCs/>
          <w:i/>
        </w:rPr>
        <w:t xml:space="preserve">Drosophila pseudoananassae nigrens</w:t>
      </w:r>
      <w:r>
        <w:t xml:space="preserve"> </w:t>
      </w:r>
      <w:r>
        <w:t xml:space="preserve">(4.9% to 62.4%). Five stayed below 35%. The two camels (13.2% and 29.1%) were scored against the largest gene set used here, 12,277 mammal BUSCOs, and</w:t>
      </w:r>
      <w:r>
        <w:t xml:space="preserve"> </w:t>
      </w:r>
      <w:r>
        <w:rPr>
          <w:iCs/>
          <w:i/>
        </w:rPr>
        <w:t xml:space="preserve">Camelus bactrianus</w:t>
      </w:r>
      <w:r>
        <w:t xml:space="preserve"> </w:t>
      </w:r>
      <w:r>
        <w:t xml:space="preserve">has the smallest mammal read set (18 million pairs); the</w:t>
      </w:r>
      <w:r>
        <w:t xml:space="preserve"> </w:t>
      </w:r>
      <w:r>
        <w:rPr>
          <w:iCs/>
          <w:i/>
        </w:rPr>
        <w:t xml:space="preserve">Eucidaris tribuloides</w:t>
      </w:r>
      <w:r>
        <w:t xml:space="preserve"> </w:t>
      </w:r>
      <w:r>
        <w:t xml:space="preserve">library is from ovary alone, the</w:t>
      </w:r>
      <w:r>
        <w:t xml:space="preserve"> </w:t>
      </w:r>
      <w:r>
        <w:rPr>
          <w:iCs/>
          <w:i/>
        </w:rPr>
        <w:t xml:space="preserve">Stegodyphus mimosarum</w:t>
      </w:r>
      <w:r>
        <w:t xml:space="preserve"> </w:t>
      </w:r>
      <w:r>
        <w:t xml:space="preserve">assembly holds only about 11,000 distinct genes, and the fungus (GAGE) was scored against a mismatched lineage (Methods). In these cases the limit is more likely the data than the assembler. Missing and fragmented BUSCOs both fell, to medians of 10.9% and 9.5%.</w:t>
      </w:r>
    </w:p>
    <w:p>
      <w:pPr>
        <w:pStyle w:val="BodyText"/>
      </w:pPr>
      <w:r>
        <w:t xml:space="preserve">Higher completeness came with less redundancy. Median BUSCO duplication fell from 13.8% to 4.8% (Fig. 1B), and the single-copy fraction rose from 38.6% to 68.9% (Table 1a). Duplication rose in 14 datasets, 11 of them from below 5%. The largest rises were in the allotetraploid</w:t>
      </w:r>
      <w:r>
        <w:t xml:space="preserve"> </w:t>
      </w:r>
      <w:r>
        <w:rPr>
          <w:iCs/>
          <w:i/>
        </w:rPr>
        <w:t xml:space="preserve">Brassica juncea</w:t>
      </w:r>
      <w:r>
        <w:t xml:space="preserve"> </w:t>
      </w:r>
      <w:r>
        <w:t xml:space="preserve">(8.4% to 60.9%), consistent with both homeologous copies of many genes being retained, and in</w:t>
      </w:r>
      <w:r>
        <w:t xml:space="preserve"> </w:t>
      </w:r>
      <w:r>
        <w:rPr>
          <w:iCs/>
          <w:i/>
        </w:rPr>
        <w:t xml:space="preserve">Thlaspi arvense</w:t>
      </w:r>
      <w:r>
        <w:t xml:space="preserve"> </w:t>
      </w:r>
      <w:r>
        <w:t xml:space="preserve">(2.8% to 24.4%), where single-copy BUSCOs fell from 89.3% to 74.2% even as completeness rose to 98.7%.</w:t>
      </w:r>
    </w:p>
    <w:p>
      <w:pPr>
        <w:pStyle w:val="BodyText"/>
      </w:pPr>
      <w:r>
        <w:t xml:space="preserve">Across all 59 pairs, completeness rose in every group, but by different amounts. Median gains were largest in non-mammal vertebrates (21.7 points) and land plants (20.2), intermediate in insects (15.0) and echinoderms (12.1), and smaller in the eight other taxa (8.0) and in mammals (6.2), whose dataset of 12,277 genes is the largest used here. Duplication fell in all ten echinoderms, from a median of 24.2% to 4.4%, and in all eight mammals (15.4% to 1.0%). Land plants were the exception: duplication rose in seven of the 14 plant datasets, all of them TSA pairs, and the group median moved from 12.8% to 14.3%. Group medians and per-dataset values are in Supplementary Data S1 (sheets Groups and Datasets).</w:t>
      </w:r>
    </w:p>
    <w:p>
      <w:pPr>
        <w:pStyle w:val="BodyText"/>
      </w:pPr>
      <w:r>
        <w:t xml:space="preserve">Gene recovery rose with completeness. ORP 4.0.0 assemblies held more distinct Swiss-Prot genes than the deposited assemblies in all 44 datasets, from a median of 8,942 to 12,140, a median gain of 1,702 genes (18.2%; Table 1a).</w:t>
      </w:r>
    </w:p>
    <w:p>
      <w:pPr>
        <w:pStyle w:val="BodyText"/>
      </w:pPr>
      <w:r>
        <w:t xml:space="preserve">Read-based metrics moved in the same direction. The proportion of read pairs mapping concordantly (good mappings) rose in all 44 datasets, from a median of 71.4% to 88.5% (Fig. 1D), and the proportion mapping at all rose from 85.2% to 96.1%. The pyTransRate score, which combines these signals with per-contig support, rose in 42 of 44 datasets, from a median of 0.25 to 0.44 (Fig. 1C). The two exceptions were</w:t>
      </w:r>
      <w:r>
        <w:t xml:space="preserve"> </w:t>
      </w:r>
      <w:r>
        <w:rPr>
          <w:iCs/>
          <w:i/>
        </w:rPr>
        <w:t xml:space="preserve">Sclerodactyla briareus</w:t>
      </w:r>
      <w:r>
        <w:t xml:space="preserve"> </w:t>
      </w:r>
      <w:r>
        <w:t xml:space="preserve">(0.25 to 0.21) and</w:t>
      </w:r>
      <w:r>
        <w:t xml:space="preserve"> </w:t>
      </w:r>
      <w:r>
        <w:rPr>
          <w:iCs/>
          <w:i/>
        </w:rPr>
        <w:t xml:space="preserve">Thlaspi arvense</w:t>
      </w:r>
      <w:r>
        <w:t xml:space="preserve"> </w:t>
      </w:r>
      <w:r>
        <w:t xml:space="preserve">(0.55 to 0.49). The optimal score also rose in 42 of 44 (0.35 to 0.50), so the gain does not depend on how poorly supported contigs are counted.</w:t>
      </w:r>
    </w:p>
    <w:p>
      <w:pPr>
        <w:pStyle w:val="BodyText"/>
      </w:pPr>
      <w:r>
        <w:t xml:space="preserve">One metric did not favor ORP 4.0.0. Its assemblies held about twice as many contigs (median 106,900 vs 56,700; Table 1a). Part of this reflects curation: TSA requires contigs of at least 200 bp and submitters often remove low-support sequences, while ORP 4.0.0 retains them. Every ORP 4.0.0 assembly in this comparison held some contigs under 200 bp (median 300; maximum 2,804), against none in the deposited assemblies. The difference in contig number should be read as a difference in curation as much as in assembly.</w:t>
      </w:r>
    </w:p>
    <w:bookmarkEnd w:id="24"/>
    <w:bookmarkStart w:id="25" w:name="orp-4.0.0-versus-the-original-orp"/>
    <w:p>
      <w:pPr>
        <w:pStyle w:val="Heading3"/>
      </w:pPr>
      <w:r>
        <w:t xml:space="preserve">4.2 ORP 4.0.0 versus the original ORP</w:t>
      </w:r>
    </w:p>
    <w:p>
      <w:pPr>
        <w:pStyle w:val="FirstParagraph"/>
      </w:pPr>
      <w:r>
        <w:t xml:space="preserve">The main effect of ORP 4.0.0 on the 15 datasets from the original ORP study was a drop in redundancy (Table 1b; orange points in Fig. 1). Every dataset had fewer contigs (median 147,000 to 89,000), and BUSCO duplication fell in 14 of 15, from a median of 23.8% to 13.0%; the exception was the polychaete</w:t>
      </w:r>
      <w:r>
        <w:t xml:space="preserve"> </w:t>
      </w:r>
      <w:r>
        <w:rPr>
          <w:iCs/>
          <w:i/>
        </w:rPr>
        <w:t xml:space="preserve">Phyllodoce medipapillata</w:t>
      </w:r>
      <w:r>
        <w:t xml:space="preserve"> </w:t>
      </w:r>
      <w:r>
        <w:t xml:space="preserve">(3.0% to 19.0%). The single-copy fraction rose in all 15, from 39.8% to 64.7%.</w:t>
      </w:r>
    </w:p>
    <w:p>
      <w:pPr>
        <w:pStyle w:val="BodyText"/>
      </w:pPr>
      <w:r>
        <w:t xml:space="preserve">Removing redundancy did not cost completeness. BUSCO completeness rose in all 15 datasets, from a median of 75.7% to 86.7%, and missing BUSCOs fell in 14 (the fifteenth was unchanged). Distinct Swiss-Prot genes rose in 13 of 15 (median 11,843 to 12,785; q = 0.049); they fell in</w:t>
      </w:r>
      <w:r>
        <w:t xml:space="preserve"> </w:t>
      </w:r>
      <w:r>
        <w:rPr>
          <w:iCs/>
          <w:i/>
        </w:rPr>
        <w:t xml:space="preserve">Nicotiana tabacum</w:t>
      </w:r>
      <w:r>
        <w:t xml:space="preserve"> </w:t>
      </w:r>
      <w:r>
        <w:t xml:space="preserve">and</w:t>
      </w:r>
      <w:r>
        <w:t xml:space="preserve"> </w:t>
      </w:r>
      <w:r>
        <w:rPr>
          <w:iCs/>
          <w:i/>
        </w:rPr>
        <w:t xml:space="preserve">Echinococcus multilocularis</w:t>
      </w:r>
      <w:r>
        <w:t xml:space="preserve">.</w:t>
      </w:r>
    </w:p>
    <w:p>
      <w:pPr>
        <w:pStyle w:val="BodyText"/>
      </w:pPr>
      <w:r>
        <w:t xml:space="preserve">Read support did not change. Good mappings (89.6% vs 88.9%; q = 0.85) and the proportion of reads mapped (q = 0.13) did not differ, and the original ORP had the higher optimal score in 10 of 15 datasets (median 0.49 vs 0.46; q = 0.36). The pyTransRate score nevertheless rose in 14 of 15 (median 0.28 to 0.42; the exception was</w:t>
      </w:r>
      <w:r>
        <w:t xml:space="preserve"> </w:t>
      </w:r>
      <w:r>
        <w:rPr>
          <w:iCs/>
          <w:i/>
        </w:rPr>
        <w:t xml:space="preserve">Hevea brasiliensis</w:t>
      </w:r>
      <w:r>
        <w:t xml:space="preserve">), because it penalizes contigs that reads do not support, and the original assemblies carried many redundant ones. The 2018 assemblies were also built from error-corrected reads, which makes them the closest competitors in the set: all six datasets in which a previous assembly had more good mappings, and 10 of the 12 in which it had the higher optimal score, come from the 2018 study. Against TSA, by contrast, the optimal score rose in 42 of 44 datasets, so most of the gain in read support is over the deposited assemblies rather than over the original ORP.</w:t>
      </w:r>
    </w:p>
    <w:bookmarkEnd w:id="25"/>
    <w:bookmarkStart w:id="26" w:name="Xe364f03b79f3c5a9e9a0f79b3e9bedf97509d2d"/>
    <w:p>
      <w:pPr>
        <w:pStyle w:val="Heading3"/>
      </w:pPr>
      <w:r>
        <w:t xml:space="preserve">4.3 ORP 4.0.0 versus its component assemblies</w:t>
      </w:r>
    </w:p>
    <w:p>
      <w:pPr>
        <w:pStyle w:val="FirstParagraph"/>
      </w:pPr>
      <w:r>
        <w:t xml:space="preserve">ORP 4.0.0 was more complete than each of the four assemblies it merges in nearly every dataset (Table 2): in 54 of 59 against Trinity, 57 against rnaSPAdes auto-k, 59 against rnaSPAdes high-k and 58 against Trans-ABySS. It also recovered more distinct genes than each of them in at least 57 of 59 datasets, by a median of 639 to 1,147 genes. Against the best of the four in each dataset, chosen separately for each metric, ORP was more complete in 53 datasets, tied in two and less complete in four (median +1.1 points) and recovered more genes in 57 (median +434). No single assembler was consistently best: rnaSPAdes auto-k was the most complete component in 34 datasets and Trinity in 24.</w:t>
      </w:r>
    </w:p>
    <w:p>
      <w:pPr>
        <w:pStyle w:val="BodyText"/>
      </w:pPr>
      <w:r>
        <w:t xml:space="preserve">The exceptions on completeness were small and came with much more redundancy. Trinity was more complete in</w:t>
      </w:r>
      <w:r>
        <w:t xml:space="preserve"> </w:t>
      </w:r>
      <w:r>
        <w:rPr>
          <w:iCs/>
          <w:i/>
        </w:rPr>
        <w:t xml:space="preserve">Nicotiana tabacum</w:t>
      </w:r>
      <w:r>
        <w:t xml:space="preserve"> </w:t>
      </w:r>
      <w:r>
        <w:t xml:space="preserve">(97.6% vs 97.4%),</w:t>
      </w:r>
      <w:r>
        <w:t xml:space="preserve"> </w:t>
      </w:r>
      <w:r>
        <w:rPr>
          <w:iCs/>
          <w:i/>
        </w:rPr>
        <w:t xml:space="preserve">Avena sativa</w:t>
      </w:r>
      <w:r>
        <w:t xml:space="preserve"> </w:t>
      </w:r>
      <w:r>
        <w:t xml:space="preserve">(91.8% vs 91.6%) and the GAGE fungus (32.4% vs 32.0%), and rnaSPAdes auto-k in</w:t>
      </w:r>
      <w:r>
        <w:t xml:space="preserve"> </w:t>
      </w:r>
      <w:r>
        <w:rPr>
          <w:iCs/>
          <w:i/>
        </w:rPr>
        <w:t xml:space="preserve">Echinogammarus veneris</w:t>
      </w:r>
      <w:r>
        <w:t xml:space="preserve"> </w:t>
      </w:r>
      <w:r>
        <w:t xml:space="preserve">(53.9% vs 53.7%), but each of those assemblies was two to five times more duplicated than ORP’s. ORP tied Trinity in</w:t>
      </w:r>
      <w:r>
        <w:t xml:space="preserve"> </w:t>
      </w:r>
      <w:r>
        <w:rPr>
          <w:iCs/>
          <w:i/>
        </w:rPr>
        <w:t xml:space="preserve">Kerria lacca</w:t>
      </w:r>
      <w:r>
        <w:t xml:space="preserve"> </w:t>
      </w:r>
      <w:r>
        <w:t xml:space="preserve">(88.3%) and</w:t>
      </w:r>
      <w:r>
        <w:t xml:space="preserve"> </w:t>
      </w:r>
      <w:r>
        <w:rPr>
          <w:iCs/>
          <w:i/>
        </w:rPr>
        <w:t xml:space="preserve">Heterorhabditis indica</w:t>
      </w:r>
      <w:r>
        <w:t xml:space="preserve"> </w:t>
      </w:r>
      <w:r>
        <w:t xml:space="preserve">(93.0%), with about a quarter and two-fifths of its duplication (15.0% vs 57.1%; 29.6% vs 74.5%). Trans-ABySS recovered more genes than ORP in</w:t>
      </w:r>
      <w:r>
        <w:t xml:space="preserve"> </w:t>
      </w:r>
      <w:r>
        <w:rPr>
          <w:iCs/>
          <w:i/>
        </w:rPr>
        <w:t xml:space="preserve">Patiria miniata</w:t>
      </w:r>
      <w:r>
        <w:t xml:space="preserve"> </w:t>
      </w:r>
      <w:r>
        <w:t xml:space="preserve">(134 more) and</w:t>
      </w:r>
      <w:r>
        <w:t xml:space="preserve"> </w:t>
      </w:r>
      <w:r>
        <w:rPr>
          <w:iCs/>
          <w:i/>
        </w:rPr>
        <w:t xml:space="preserve">Anopheles gambiae</w:t>
      </w:r>
      <w:r>
        <w:t xml:space="preserve"> </w:t>
      </w:r>
      <w:r>
        <w:t xml:space="preserve">(77 more).</w:t>
      </w:r>
    </w:p>
    <w:p>
      <w:pPr>
        <w:pStyle w:val="BodyText"/>
      </w:pPr>
      <w:r>
        <w:t xml:space="preserve">The gene count understates what the merge keeps. Every dataset had genes found among the hits of some component but not of ORP, a median of 798 per run (range 155–1,821), but for most of them the sequence was still in the ORP assembly. In 78% of cases the component contig lay within an ORP contig whose best hit was a different protein, often a related one (for example, one 14-3-3 protein within a contig whose best hit was another), and scored more than 10% higher than the hit to the missing gene. DIAMOND's --top 0.1 then reports only the stronger hit, so the gene drops out of the count. ORP's selection keeps at least one contig for every gene, so these contigs were removed afterwards, at the final CD-HIT-EST step (98% identity), which clusters contigs regardless of their gene. A further 4% lay within an ORP contig with no hit at all, because the hit was marginal (bitscores of about 55–60) and no longer passed the E-value cutoff on the longer query, and 7% lay within an ORP contig whose reported hits omitted the gene for reasons the hit tables did not resolve. Only 12% (median 77 per run, range 9–303) had no match in the ORP assembly at ≥95% identity over ≥90% of their length. That is an upper bound on gene sequence lost in the merge, since one contig was tested per gene and another copy may have been kept. The two datasets in which Trans-ABySS recovered more genes follow the same pattern: 1,094 of the 1,329 genes missing from the ORP count in </w:t>
      </w:r>
      <w:r>
        <w:rPr>
          <w:i/>
        </w:rPr>
        <w:t>P. miniata</w:t>
      </w:r>
      <w:r>
        <w:t xml:space="preserve"> were masked and 91 had no match, and in </w:t>
      </w:r>
      <w:r>
        <w:rPr>
          <w:i/>
        </w:rPr>
        <w:t>A. gambiae</w:t>
      </w:r>
      <w:r>
        <w:t xml:space="preserve"> 963 of 1,136 were masked and 88 had no match. Unique genes therefore count Swiss-Prot names rather than sequence, and the count is conservative for a merged assembly whose contigs are longer than those of its inputs.</w:t>
      </w:r>
    </w:p>
    <w:p>
      <w:pPr>
        <w:pStyle w:val="BodyText"/>
      </w:pPr>
      <w:r>
        <w:t xml:space="preserve">Merging removed most of the redundancy of its inputs. Median BUSCO duplication was 28.3 points lower than Trinity’s and 13.7 lower than that of rnaSPAdes auto-k, and ORP was less duplicated than the least-duplicated of its four assemblers in 38 of 59 datasets (median 2.2 points lower).</w:t>
      </w:r>
    </w:p>
    <w:p>
      <w:pPr>
        <w:pStyle w:val="BodyText"/>
      </w:pPr>
      <w:r>
        <w:t xml:space="preserve">Read support matched the best component rather than exceeding it. ORP scored higher than Trinity and Trans-ABySS on pyTransRate in 54 and 55 of 59 datasets, but rnaSPAdes high-k scored as well or better in more than half (ORP higher in 24 of 59; median difference −0.011; q = 0.11). Against the best component in each dataset, ORP’s pyTransRate score was a median 0.014 lower (higher in 20 of 59) and its concordant mapping 1.3 points lower (higher in 11). The rnaSPAdes assemblies were the best components on read support in most datasets. The differences are small but consistent, and land plants account for the largest of them (Section 5).</w:t>
      </w:r>
    </w:p>
    <w:bookmarkEnd w:id="26"/>
    <w:bookmarkStart w:id="27" w:name="X65b50e4a6be0071e510cc961037b9795291b6ae"/>
    <w:p>
      <w:pPr>
        <w:pStyle w:val="Heading3"/>
      </w:pPr>
      <w:r>
        <w:t xml:space="preserve">4.4 Effect of the depth-scaled filter and of read normalization</w:t>
      </w:r>
    </w:p>
    <w:p>
      <w:pPr>
        <w:pStyle w:val="FirstParagraph"/>
      </w:pPr>
      <w:r>
        <w:t xml:space="preserve">An earlier run of the first 50 datasets with a development build (dev30) differed from the final runs in two settings only: Trinity normalized the reads, and contigs without a Swiss-Prot hit were filtered at a fixed coverage of 2 instead of the depth-scaled threshold. Assembly quality barely changed. BUSCO completeness differed by at most 0.4 points in any dataset (median difference 0.0), distinct genes by −24 to +72, and the pyTransRate score by −0.036 to +0.008 (median −0.005; lower in 41 of 50).</w:t>
      </w:r>
    </w:p>
    <w:p>
      <w:pPr>
        <w:pStyle w:val="BodyText"/>
      </w:pPr>
      <w:r>
        <w:t xml:space="preserve">The filter moved contig counts the way the depth scaling predicts. On the 41 of those libraries below 60 million read pairs, the depth-scaled threshold was below 2 and kept 1–23% more contigs (median 3.4%). On the nine deeper libraries it was 2.1 to 5.6 and removed 1–35% of contigs, most in</w:t>
      </w:r>
      <w:r>
        <w:t xml:space="preserve"> </w:t>
      </w:r>
      <w:r>
        <w:rPr>
          <w:iCs/>
          <w:i/>
        </w:rPr>
        <w:t xml:space="preserve">Mus musculus</w:t>
      </w:r>
      <w:r>
        <w:t xml:space="preserve"> </w:t>
      </w:r>
      <w:r>
        <w:t xml:space="preserve">(292,000 to 190,000) and</w:t>
      </w:r>
      <w:r>
        <w:t xml:space="preserve"> </w:t>
      </w:r>
      <w:r>
        <w:rPr>
          <w:iCs/>
          <w:i/>
        </w:rPr>
        <w:t xml:space="preserve">Anopheles gambiae</w:t>
      </w:r>
      <w:r>
        <w:t xml:space="preserve"> </w:t>
      </w:r>
      <w:r>
        <w:t xml:space="preserve">(76,000 to 51,000), with BUSCO completeness within 0.2 points. Turning normalization off cost time without a measurable gain in quality: Trinity took 18% longer in total (291 to 343 hours) and whole runs 8% longer (409 to 442 hours; longer in 39 of 50 datasets). Per-dataset values are in Supplementary Data S1 (sheet Settings_dev30_vs_400).</w:t>
      </w:r>
    </w:p>
    <w:bookmarkEnd w:id="27"/>
    <w:bookmarkEnd w:id="28"/>
    <w:bookmarkStart w:id="29" w:name="table-1"/>
    <w:p>
      <w:pPr>
        <w:pStyle w:val="Heading2"/>
      </w:pPr>
      <w:r>
        <w:t xml:space="preserve">Table 1</w:t>
      </w:r>
    </w:p>
    <w:p>
      <w:pPr>
        <w:pStyle w:val="FirstParagraph"/>
      </w:pPr>
      <w:r>
        <w:rPr>
          <w:bCs/>
          <w:b/>
        </w:rPr>
        <w:t xml:space="preserve">Table 1.</w:t>
      </w:r>
      <w:r>
        <w:t xml:space="preserve"> </w:t>
      </w:r>
      <w:r>
        <w:t xml:space="preserve">Assembly quality of ORP 4.0.0 compared with previous assemblies of the same reads, in two independent sets of datasets. (a) Deposited TSA assemblies, 44 datasets. (b) Assemblies from the original ORP study (MacManes, 2018), 15 datasets. Values are medians (interquartile range). q, Benjamini-Hochberg-adjusted two-sided Wilcoxon signed-rank P across the 11 metrics within each panel. Reads mapped, read pairs with at least one mate aligned; good mappings, read pairs aligned concordantly. Unique Swiss-Prot genes, distinct Swiss-Prot gene names among DIAMOND hits (Methods). ORP higher, datasets in which the ORP 4.0.0 value is higher; lower values are better for duplicated, fragmented and missing BUSCOs. BUSCO v6.1.0 in transcriptome mode; each pair was scored against the lineage dataset for its group (Methods), so BUSCO percentages are not comparable between groups. All assemblies scored with pyTransRate 2.2.2 against the same trimmed, error-corrected reads.</w:t>
      </w:r>
    </w:p>
    <w:p>
      <w:pPr>
        <w:pStyle w:val="BodyText"/>
      </w:pPr>
      <w:r>
        <w:rPr>
          <w:bCs/>
          <w:b/>
        </w:rPr>
        <w:t xml:space="preserve">(a) TSA deposited vs ORP 4.0.0 (n = 44 datasets)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Metric</w:t>
            </w:r>
          </w:p>
        </w:tc>
        <w:tc>
          <w:tcPr/>
          <w:p>
            <w:pPr>
              <w:pStyle w:val="Compact"/>
              <w:jc w:val="left"/>
            </w:pPr>
            <w:r>
              <w:rPr>
                <w:bCs/>
                <w:b/>
              </w:rPr>
              <w:t xml:space="preserve">TSA deposited</w:t>
            </w:r>
          </w:p>
        </w:tc>
        <w:tc>
          <w:tcPr/>
          <w:p>
            <w:pPr>
              <w:pStyle w:val="Compact"/>
              <w:jc w:val="left"/>
            </w:pPr>
            <w:r>
              <w:rPr>
                <w:bCs/>
                <w:b/>
              </w:rPr>
              <w:t xml:space="preserve">ORP 4.0.0</w:t>
            </w:r>
          </w:p>
        </w:tc>
        <w:tc>
          <w:tcPr/>
          <w:p>
            <w:pPr>
              <w:pStyle w:val="Compact"/>
              <w:jc w:val="left"/>
            </w:pPr>
            <w:r>
              <w:rPr>
                <w:bCs/>
                <w:b/>
              </w:rPr>
              <w:t xml:space="preserve">q</w:t>
            </w:r>
          </w:p>
        </w:tc>
        <w:tc>
          <w:tcPr/>
          <w:p>
            <w:pPr>
              <w:pStyle w:val="Compact"/>
              <w:jc w:val="left"/>
            </w:pPr>
            <w:r>
              <w:rPr>
                <w:bCs/>
                <w:b/>
              </w:rPr>
              <w:t xml:space="preserve">ORP higher</w:t>
            </w:r>
          </w:p>
        </w:tc>
      </w:tr>
      <w:tr>
        <w:tc>
          <w:tcPr/>
          <w:p>
            <w:pPr>
              <w:pStyle w:val="Compact"/>
              <w:jc w:val="left"/>
            </w:pPr>
            <w:r>
              <w:t xml:space="preserve">Contigs (thousands)</w:t>
            </w:r>
          </w:p>
        </w:tc>
        <w:tc>
          <w:tcPr/>
          <w:p>
            <w:pPr>
              <w:pStyle w:val="Compact"/>
              <w:jc w:val="left"/>
            </w:pPr>
            <w:r>
              <w:t xml:space="preserve">56.7 (39.0–85.3)</w:t>
            </w:r>
          </w:p>
        </w:tc>
        <w:tc>
          <w:tcPr/>
          <w:p>
            <w:pPr>
              <w:pStyle w:val="Compact"/>
              <w:jc w:val="left"/>
            </w:pPr>
            <w:r>
              <w:t xml:space="preserve">106.9 (63.3–153.4)</w:t>
            </w:r>
          </w:p>
        </w:tc>
        <w:tc>
          <w:tcPr/>
          <w:p>
            <w:pPr>
              <w:pStyle w:val="Compact"/>
              <w:jc w:val="left"/>
            </w:pPr>
            <w:r>
              <w:t xml:space="preserve">&lt;0.001</w:t>
            </w:r>
          </w:p>
        </w:tc>
        <w:tc>
          <w:tcPr/>
          <w:p>
            <w:pPr>
              <w:pStyle w:val="Compact"/>
              <w:jc w:val="left"/>
            </w:pPr>
            <w:r>
              <w:t xml:space="preserve">40/44</w:t>
            </w:r>
          </w:p>
        </w:tc>
      </w:tr>
      <w:tr>
        <w:tc>
          <w:tcPr/>
          <w:p>
            <w:pPr>
              <w:pStyle w:val="Compact"/>
              <w:jc w:val="left"/>
            </w:pPr>
            <w:r>
              <w:t xml:space="preserve">Reads mapped (%)</w:t>
            </w:r>
          </w:p>
        </w:tc>
        <w:tc>
          <w:tcPr/>
          <w:p>
            <w:pPr>
              <w:pStyle w:val="Compact"/>
              <w:jc w:val="left"/>
            </w:pPr>
            <w:r>
              <w:t xml:space="preserve">85.2 (72.7–90.8)</w:t>
            </w:r>
          </w:p>
        </w:tc>
        <w:tc>
          <w:tcPr/>
          <w:p>
            <w:pPr>
              <w:pStyle w:val="Compact"/>
              <w:jc w:val="left"/>
            </w:pPr>
            <w:r>
              <w:t xml:space="preserve">96.1 (92.7–97.0)</w:t>
            </w:r>
          </w:p>
        </w:tc>
        <w:tc>
          <w:tcPr/>
          <w:p>
            <w:pPr>
              <w:pStyle w:val="Compact"/>
              <w:jc w:val="left"/>
            </w:pPr>
            <w:r>
              <w:t xml:space="preserve">&lt;0.001</w:t>
            </w:r>
          </w:p>
        </w:tc>
        <w:tc>
          <w:tcPr/>
          <w:p>
            <w:pPr>
              <w:pStyle w:val="Compact"/>
              <w:jc w:val="left"/>
            </w:pPr>
            <w:r>
              <w:t xml:space="preserve">44/44</w:t>
            </w:r>
          </w:p>
        </w:tc>
      </w:tr>
      <w:tr>
        <w:tc>
          <w:tcPr/>
          <w:p>
            <w:pPr>
              <w:pStyle w:val="Compact"/>
              <w:jc w:val="left"/>
            </w:pPr>
            <w:r>
              <w:t xml:space="preserve">Good mappings (%)</w:t>
            </w:r>
          </w:p>
        </w:tc>
        <w:tc>
          <w:tcPr/>
          <w:p>
            <w:pPr>
              <w:pStyle w:val="Compact"/>
              <w:jc w:val="left"/>
            </w:pPr>
            <w:r>
              <w:t xml:space="preserve">71.4 (45.3–81.7)</w:t>
            </w:r>
          </w:p>
        </w:tc>
        <w:tc>
          <w:tcPr/>
          <w:p>
            <w:pPr>
              <w:pStyle w:val="Compact"/>
              <w:jc w:val="left"/>
            </w:pPr>
            <w:r>
              <w:t xml:space="preserve">88.5 (81.5–93.0)</w:t>
            </w:r>
          </w:p>
        </w:tc>
        <w:tc>
          <w:tcPr/>
          <w:p>
            <w:pPr>
              <w:pStyle w:val="Compact"/>
              <w:jc w:val="left"/>
            </w:pPr>
            <w:r>
              <w:t xml:space="preserve">&lt;0.001</w:t>
            </w:r>
          </w:p>
        </w:tc>
        <w:tc>
          <w:tcPr/>
          <w:p>
            <w:pPr>
              <w:pStyle w:val="Compact"/>
              <w:jc w:val="left"/>
            </w:pPr>
            <w:r>
              <w:t xml:space="preserve">44/44</w:t>
            </w:r>
          </w:p>
        </w:tc>
      </w:tr>
      <w:tr>
        <w:tc>
          <w:tcPr/>
          <w:p>
            <w:pPr>
              <w:pStyle w:val="Compact"/>
              <w:jc w:val="left"/>
            </w:pPr>
            <w:r>
              <w:t xml:space="preserve">pyTransRate score</w:t>
            </w:r>
          </w:p>
        </w:tc>
        <w:tc>
          <w:tcPr/>
          <w:p>
            <w:pPr>
              <w:pStyle w:val="Compact"/>
              <w:jc w:val="left"/>
            </w:pPr>
            <w:r>
              <w:t xml:space="preserve">0.25 (0.12–0.34)</w:t>
            </w:r>
          </w:p>
        </w:tc>
        <w:tc>
          <w:tcPr/>
          <w:p>
            <w:pPr>
              <w:pStyle w:val="Compact"/>
              <w:jc w:val="left"/>
            </w:pPr>
            <w:r>
              <w:t xml:space="preserve">0.44 (0.31–0.50)</w:t>
            </w:r>
          </w:p>
        </w:tc>
        <w:tc>
          <w:tcPr/>
          <w:p>
            <w:pPr>
              <w:pStyle w:val="Compact"/>
              <w:jc w:val="left"/>
            </w:pPr>
            <w:r>
              <w:t xml:space="preserve">&lt;0.001</w:t>
            </w:r>
          </w:p>
        </w:tc>
        <w:tc>
          <w:tcPr/>
          <w:p>
            <w:pPr>
              <w:pStyle w:val="Compact"/>
              <w:jc w:val="left"/>
            </w:pPr>
            <w:r>
              <w:t xml:space="preserve">42/44</w:t>
            </w:r>
          </w:p>
        </w:tc>
      </w:tr>
      <w:tr>
        <w:tc>
          <w:tcPr/>
          <w:p>
            <w:pPr>
              <w:pStyle w:val="Compact"/>
              <w:jc w:val="left"/>
            </w:pPr>
            <w:r>
              <w:t xml:space="preserve">pyTransRate optimal score</w:t>
            </w:r>
          </w:p>
        </w:tc>
        <w:tc>
          <w:tcPr/>
          <w:p>
            <w:pPr>
              <w:pStyle w:val="Compact"/>
              <w:jc w:val="left"/>
            </w:pPr>
            <w:r>
              <w:t xml:space="preserve">0.35 (0.22–0.43)</w:t>
            </w:r>
          </w:p>
        </w:tc>
        <w:tc>
          <w:tcPr/>
          <w:p>
            <w:pPr>
              <w:pStyle w:val="Compact"/>
              <w:jc w:val="left"/>
            </w:pPr>
            <w:r>
              <w:t xml:space="preserve">0.50 (0.43–0.56)</w:t>
            </w:r>
          </w:p>
        </w:tc>
        <w:tc>
          <w:tcPr/>
          <w:p>
            <w:pPr>
              <w:pStyle w:val="Compact"/>
              <w:jc w:val="left"/>
            </w:pPr>
            <w:r>
              <w:t xml:space="preserve">&lt;0.001</w:t>
            </w:r>
          </w:p>
        </w:tc>
        <w:tc>
          <w:tcPr/>
          <w:p>
            <w:pPr>
              <w:pStyle w:val="Compact"/>
              <w:jc w:val="left"/>
            </w:pPr>
            <w:r>
              <w:t xml:space="preserve">42/44</w:t>
            </w:r>
          </w:p>
        </w:tc>
      </w:tr>
      <w:tr>
        <w:tc>
          <w:tcPr/>
          <w:p>
            <w:pPr>
              <w:pStyle w:val="Compact"/>
              <w:jc w:val="left"/>
            </w:pPr>
            <w:r>
              <w:t xml:space="preserve">Unique Swiss-Prot genes</w:t>
            </w:r>
          </w:p>
        </w:tc>
        <w:tc>
          <w:tcPr/>
          <w:p>
            <w:pPr>
              <w:pStyle w:val="Compact"/>
              <w:jc w:val="left"/>
            </w:pPr>
            <w:r>
              <w:t xml:space="preserve">8,942 (7,285–11,690)</w:t>
            </w:r>
          </w:p>
        </w:tc>
        <w:tc>
          <w:tcPr/>
          <w:p>
            <w:pPr>
              <w:pStyle w:val="Compact"/>
              <w:jc w:val="left"/>
            </w:pPr>
            <w:r>
              <w:t xml:space="preserve">12,140 (9,023–14,109)</w:t>
            </w:r>
          </w:p>
        </w:tc>
        <w:tc>
          <w:tcPr/>
          <w:p>
            <w:pPr>
              <w:pStyle w:val="Compact"/>
              <w:jc w:val="left"/>
            </w:pPr>
            <w:r>
              <w:t xml:space="preserve">&lt;0.001</w:t>
            </w:r>
          </w:p>
        </w:tc>
        <w:tc>
          <w:tcPr/>
          <w:p>
            <w:pPr>
              <w:pStyle w:val="Compact"/>
              <w:jc w:val="left"/>
            </w:pPr>
            <w:r>
              <w:t xml:space="preserve">44/44</w:t>
            </w:r>
          </w:p>
        </w:tc>
      </w:tr>
      <w:tr>
        <w:tc>
          <w:tcPr/>
          <w:p>
            <w:pPr>
              <w:pStyle w:val="Compact"/>
              <w:jc w:val="left"/>
            </w:pPr>
            <w:r>
              <w:t xml:space="preserve">BUSCO complete (%)</w:t>
            </w:r>
          </w:p>
        </w:tc>
        <w:tc>
          <w:tcPr/>
          <w:p>
            <w:pPr>
              <w:pStyle w:val="Compact"/>
              <w:jc w:val="left"/>
            </w:pPr>
            <w:r>
              <w:t xml:space="preserve">58.5 (30.0–71.3)</w:t>
            </w:r>
          </w:p>
        </w:tc>
        <w:tc>
          <w:tcPr/>
          <w:p>
            <w:pPr>
              <w:pStyle w:val="Compact"/>
              <w:jc w:val="left"/>
            </w:pPr>
            <w:r>
              <w:t xml:space="preserve">74.0 (54.5–91.6)</w:t>
            </w:r>
          </w:p>
        </w:tc>
        <w:tc>
          <w:tcPr/>
          <w:p>
            <w:pPr>
              <w:pStyle w:val="Compact"/>
              <w:jc w:val="left"/>
            </w:pPr>
            <w:r>
              <w:t xml:space="preserve">&lt;0.001</w:t>
            </w:r>
          </w:p>
        </w:tc>
        <w:tc>
          <w:tcPr/>
          <w:p>
            <w:pPr>
              <w:pStyle w:val="Compact"/>
              <w:jc w:val="left"/>
            </w:pPr>
            <w:r>
              <w:t xml:space="preserve">44/44</w:t>
            </w:r>
          </w:p>
        </w:tc>
      </w:tr>
      <w:tr>
        <w:tc>
          <w:tcPr/>
          <w:p>
            <w:pPr>
              <w:pStyle w:val="Compact"/>
              <w:jc w:val="left"/>
            </w:pPr>
            <w:r>
              <w:t xml:space="preserve">BUSCO single-copy (%)</w:t>
            </w:r>
          </w:p>
        </w:tc>
        <w:tc>
          <w:tcPr/>
          <w:p>
            <w:pPr>
              <w:pStyle w:val="Compact"/>
              <w:jc w:val="left"/>
            </w:pPr>
            <w:r>
              <w:t xml:space="preserve">38.6 (21.0–51.5)</w:t>
            </w:r>
          </w:p>
        </w:tc>
        <w:tc>
          <w:tcPr/>
          <w:p>
            <w:pPr>
              <w:pStyle w:val="Compact"/>
              <w:jc w:val="left"/>
            </w:pPr>
            <w:r>
              <w:t xml:space="preserve">68.9 (50.2–77.2)</w:t>
            </w:r>
          </w:p>
        </w:tc>
        <w:tc>
          <w:tcPr/>
          <w:p>
            <w:pPr>
              <w:pStyle w:val="Compact"/>
              <w:jc w:val="left"/>
            </w:pPr>
            <w:r>
              <w:t xml:space="preserve">&lt;0.001</w:t>
            </w:r>
          </w:p>
        </w:tc>
        <w:tc>
          <w:tcPr/>
          <w:p>
            <w:pPr>
              <w:pStyle w:val="Compact"/>
              <w:jc w:val="left"/>
            </w:pPr>
            <w:r>
              <w:t xml:space="preserve">42/44</w:t>
            </w:r>
          </w:p>
        </w:tc>
      </w:tr>
      <w:tr>
        <w:tc>
          <w:tcPr/>
          <w:p>
            <w:pPr>
              <w:pStyle w:val="Compact"/>
              <w:jc w:val="left"/>
            </w:pPr>
            <w:r>
              <w:t xml:space="preserve">BUSCO duplicated (%)</w:t>
            </w:r>
          </w:p>
        </w:tc>
        <w:tc>
          <w:tcPr/>
          <w:p>
            <w:pPr>
              <w:pStyle w:val="Compact"/>
              <w:jc w:val="left"/>
            </w:pPr>
            <w:r>
              <w:t xml:space="preserve">13.8 (3.2–23.2)</w:t>
            </w:r>
          </w:p>
        </w:tc>
        <w:tc>
          <w:tcPr/>
          <w:p>
            <w:pPr>
              <w:pStyle w:val="Compact"/>
              <w:jc w:val="left"/>
            </w:pPr>
            <w:r>
              <w:t xml:space="preserve">4.8 (2.5–9.1)</w:t>
            </w:r>
          </w:p>
        </w:tc>
        <w:tc>
          <w:tcPr/>
          <w:p>
            <w:pPr>
              <w:pStyle w:val="Compact"/>
              <w:jc w:val="left"/>
            </w:pPr>
            <w:r>
              <w:t xml:space="preserve">0.002</w:t>
            </w:r>
          </w:p>
        </w:tc>
        <w:tc>
          <w:tcPr/>
          <w:p>
            <w:pPr>
              <w:pStyle w:val="Compact"/>
              <w:jc w:val="left"/>
            </w:pPr>
            <w:r>
              <w:t xml:space="preserve">14/44</w:t>
            </w:r>
          </w:p>
        </w:tc>
      </w:tr>
      <w:tr>
        <w:tc>
          <w:tcPr/>
          <w:p>
            <w:pPr>
              <w:pStyle w:val="Compact"/>
              <w:jc w:val="left"/>
            </w:pPr>
            <w:r>
              <w:t xml:space="preserve">BUSCO fragmented (%)</w:t>
            </w:r>
          </w:p>
        </w:tc>
        <w:tc>
          <w:tcPr/>
          <w:p>
            <w:pPr>
              <w:pStyle w:val="Compact"/>
              <w:jc w:val="left"/>
            </w:pPr>
            <w:r>
              <w:t xml:space="preserve">15.2 (9.5–25.3)</w:t>
            </w:r>
          </w:p>
        </w:tc>
        <w:tc>
          <w:tcPr/>
          <w:p>
            <w:pPr>
              <w:pStyle w:val="Compact"/>
              <w:jc w:val="left"/>
            </w:pPr>
            <w:r>
              <w:t xml:space="preserve">9.5 (3.5–13.8)</w:t>
            </w:r>
          </w:p>
        </w:tc>
        <w:tc>
          <w:tcPr/>
          <w:p>
            <w:pPr>
              <w:pStyle w:val="Compact"/>
              <w:jc w:val="left"/>
            </w:pPr>
            <w:r>
              <w:t xml:space="preserve">&lt;0.001</w:t>
            </w:r>
          </w:p>
        </w:tc>
        <w:tc>
          <w:tcPr/>
          <w:p>
            <w:pPr>
              <w:pStyle w:val="Compact"/>
              <w:jc w:val="left"/>
            </w:pPr>
            <w:r>
              <w:t xml:space="preserve">5/44</w:t>
            </w:r>
          </w:p>
        </w:tc>
      </w:tr>
      <w:tr>
        <w:tc>
          <w:tcPr/>
          <w:p>
            <w:pPr>
              <w:pStyle w:val="Compact"/>
              <w:jc w:val="left"/>
            </w:pPr>
            <w:r>
              <w:t xml:space="preserve">BUSCO missing (%)</w:t>
            </w:r>
          </w:p>
        </w:tc>
        <w:tc>
          <w:tcPr/>
          <w:p>
            <w:pPr>
              <w:pStyle w:val="Compact"/>
              <w:jc w:val="left"/>
            </w:pPr>
            <w:r>
              <w:t xml:space="preserve">27.4 (10.1–41.6)</w:t>
            </w:r>
          </w:p>
        </w:tc>
        <w:tc>
          <w:tcPr/>
          <w:p>
            <w:pPr>
              <w:pStyle w:val="Compact"/>
              <w:jc w:val="left"/>
            </w:pPr>
            <w:r>
              <w:t xml:space="preserve">10.9 (4.7–27.4)</w:t>
            </w:r>
          </w:p>
        </w:tc>
        <w:tc>
          <w:tcPr/>
          <w:p>
            <w:pPr>
              <w:pStyle w:val="Compact"/>
              <w:jc w:val="left"/>
            </w:pPr>
            <w:r>
              <w:t xml:space="preserve">&lt;0.001</w:t>
            </w:r>
          </w:p>
        </w:tc>
        <w:tc>
          <w:tcPr/>
          <w:p>
            <w:pPr>
              <w:pStyle w:val="Compact"/>
              <w:jc w:val="left"/>
            </w:pPr>
            <w:r>
              <w:t xml:space="preserve">0/44</w:t>
            </w:r>
          </w:p>
        </w:tc>
      </w:tr>
    </w:tbl>
    <w:p>
      <w:pPr>
        <w:pStyle w:val="BodyText"/>
      </w:pPr>
      <w:r>
        <w:rPr>
          <w:bCs/>
          <w:b/>
        </w:rPr>
        <w:t xml:space="preserve">(b) Original ORP vs ORP 4.0.0 (n = 15 datasets)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Metric</w:t>
            </w:r>
          </w:p>
        </w:tc>
        <w:tc>
          <w:tcPr/>
          <w:p>
            <w:pPr>
              <w:pStyle w:val="Compact"/>
              <w:jc w:val="left"/>
            </w:pPr>
            <w:r>
              <w:rPr>
                <w:bCs/>
                <w:b/>
              </w:rPr>
              <w:t xml:space="preserve">Original ORP</w:t>
            </w:r>
          </w:p>
        </w:tc>
        <w:tc>
          <w:tcPr/>
          <w:p>
            <w:pPr>
              <w:pStyle w:val="Compact"/>
              <w:jc w:val="left"/>
            </w:pPr>
            <w:r>
              <w:rPr>
                <w:bCs/>
                <w:b/>
              </w:rPr>
              <w:t xml:space="preserve">ORP 4.0.0</w:t>
            </w:r>
          </w:p>
        </w:tc>
        <w:tc>
          <w:tcPr/>
          <w:p>
            <w:pPr>
              <w:pStyle w:val="Compact"/>
              <w:jc w:val="left"/>
            </w:pPr>
            <w:r>
              <w:rPr>
                <w:bCs/>
                <w:b/>
              </w:rPr>
              <w:t xml:space="preserve">q</w:t>
            </w:r>
          </w:p>
        </w:tc>
        <w:tc>
          <w:tcPr/>
          <w:p>
            <w:pPr>
              <w:pStyle w:val="Compact"/>
              <w:jc w:val="left"/>
            </w:pPr>
            <w:r>
              <w:rPr>
                <w:bCs/>
                <w:b/>
              </w:rPr>
              <w:t xml:space="preserve">ORP higher</w:t>
            </w:r>
          </w:p>
        </w:tc>
      </w:tr>
      <w:tr>
        <w:tc>
          <w:tcPr/>
          <w:p>
            <w:pPr>
              <w:pStyle w:val="Compact"/>
              <w:jc w:val="left"/>
            </w:pPr>
            <w:r>
              <w:t xml:space="preserve">Contigs (thousands)</w:t>
            </w:r>
          </w:p>
        </w:tc>
        <w:tc>
          <w:tcPr/>
          <w:p>
            <w:pPr>
              <w:pStyle w:val="Compact"/>
              <w:jc w:val="left"/>
            </w:pPr>
            <w:r>
              <w:t xml:space="preserve">147.4 (95.6–303.0)</w:t>
            </w:r>
          </w:p>
        </w:tc>
        <w:tc>
          <w:tcPr/>
          <w:p>
            <w:pPr>
              <w:pStyle w:val="Compact"/>
              <w:jc w:val="left"/>
            </w:pPr>
            <w:r>
              <w:t xml:space="preserve">88.8 (56.4–165.3)</w:t>
            </w:r>
          </w:p>
        </w:tc>
        <w:tc>
          <w:tcPr/>
          <w:p>
            <w:pPr>
              <w:pStyle w:val="Compact"/>
              <w:jc w:val="left"/>
            </w:pPr>
            <w:r>
              <w:t xml:space="preserve">&lt;0.001</w:t>
            </w:r>
          </w:p>
        </w:tc>
        <w:tc>
          <w:tcPr/>
          <w:p>
            <w:pPr>
              <w:pStyle w:val="Compact"/>
              <w:jc w:val="left"/>
            </w:pPr>
            <w:r>
              <w:t xml:space="preserve">0/15</w:t>
            </w:r>
          </w:p>
        </w:tc>
      </w:tr>
      <w:tr>
        <w:tc>
          <w:tcPr/>
          <w:p>
            <w:pPr>
              <w:pStyle w:val="Compact"/>
              <w:jc w:val="left"/>
            </w:pPr>
            <w:r>
              <w:t xml:space="preserve">Reads mapped (%)</w:t>
            </w:r>
          </w:p>
        </w:tc>
        <w:tc>
          <w:tcPr/>
          <w:p>
            <w:pPr>
              <w:pStyle w:val="Compact"/>
              <w:jc w:val="left"/>
            </w:pPr>
            <w:r>
              <w:t xml:space="preserve">97.0 (95.5–97.3)</w:t>
            </w:r>
          </w:p>
        </w:tc>
        <w:tc>
          <w:tcPr/>
          <w:p>
            <w:pPr>
              <w:pStyle w:val="Compact"/>
              <w:jc w:val="left"/>
            </w:pPr>
            <w:r>
              <w:t xml:space="preserve">96.8 (96.0–97.4)</w:t>
            </w:r>
          </w:p>
        </w:tc>
        <w:tc>
          <w:tcPr/>
          <w:p>
            <w:pPr>
              <w:pStyle w:val="Compact"/>
              <w:jc w:val="left"/>
            </w:pPr>
            <w:r>
              <w:t xml:space="preserve">0.131</w:t>
            </w:r>
          </w:p>
        </w:tc>
        <w:tc>
          <w:tcPr/>
          <w:p>
            <w:pPr>
              <w:pStyle w:val="Compact"/>
              <w:jc w:val="left"/>
            </w:pPr>
            <w:r>
              <w:t xml:space="preserve">11/15</w:t>
            </w:r>
          </w:p>
        </w:tc>
      </w:tr>
      <w:tr>
        <w:tc>
          <w:tcPr/>
          <w:p>
            <w:pPr>
              <w:pStyle w:val="Compact"/>
              <w:jc w:val="left"/>
            </w:pPr>
            <w:r>
              <w:t xml:space="preserve">Good mappings (%)</w:t>
            </w:r>
          </w:p>
        </w:tc>
        <w:tc>
          <w:tcPr/>
          <w:p>
            <w:pPr>
              <w:pStyle w:val="Compact"/>
              <w:jc w:val="left"/>
            </w:pPr>
            <w:r>
              <w:t xml:space="preserve">89.6 (84.4–92.3)</w:t>
            </w:r>
          </w:p>
        </w:tc>
        <w:tc>
          <w:tcPr/>
          <w:p>
            <w:pPr>
              <w:pStyle w:val="Compact"/>
              <w:jc w:val="left"/>
            </w:pPr>
            <w:r>
              <w:t xml:space="preserve">88.9 (84.7–91.3)</w:t>
            </w:r>
          </w:p>
        </w:tc>
        <w:tc>
          <w:tcPr/>
          <w:p>
            <w:pPr>
              <w:pStyle w:val="Compact"/>
              <w:jc w:val="left"/>
            </w:pPr>
            <w:r>
              <w:t xml:space="preserve">0.847</w:t>
            </w:r>
          </w:p>
        </w:tc>
        <w:tc>
          <w:tcPr/>
          <w:p>
            <w:pPr>
              <w:pStyle w:val="Compact"/>
              <w:jc w:val="left"/>
            </w:pPr>
            <w:r>
              <w:t xml:space="preserve">9/15</w:t>
            </w:r>
          </w:p>
        </w:tc>
      </w:tr>
      <w:tr>
        <w:tc>
          <w:tcPr/>
          <w:p>
            <w:pPr>
              <w:pStyle w:val="Compact"/>
              <w:jc w:val="left"/>
            </w:pPr>
            <w:r>
              <w:t xml:space="preserve">pyTransRate score</w:t>
            </w:r>
          </w:p>
        </w:tc>
        <w:tc>
          <w:tcPr/>
          <w:p>
            <w:pPr>
              <w:pStyle w:val="Compact"/>
              <w:jc w:val="left"/>
            </w:pPr>
            <w:r>
              <w:t xml:space="preserve">0.28 (0.22–0.33)</w:t>
            </w:r>
          </w:p>
        </w:tc>
        <w:tc>
          <w:tcPr/>
          <w:p>
            <w:pPr>
              <w:pStyle w:val="Compact"/>
              <w:jc w:val="left"/>
            </w:pPr>
            <w:r>
              <w:t xml:space="preserve">0.42 (0.37–0.46)</w:t>
            </w:r>
          </w:p>
        </w:tc>
        <w:tc>
          <w:tcPr/>
          <w:p>
            <w:pPr>
              <w:pStyle w:val="Compact"/>
              <w:jc w:val="left"/>
            </w:pPr>
            <w:r>
              <w:t xml:space="preserve">&lt;0.001</w:t>
            </w:r>
          </w:p>
        </w:tc>
        <w:tc>
          <w:tcPr/>
          <w:p>
            <w:pPr>
              <w:pStyle w:val="Compact"/>
              <w:jc w:val="left"/>
            </w:pPr>
            <w:r>
              <w:t xml:space="preserve">14/15</w:t>
            </w:r>
          </w:p>
        </w:tc>
      </w:tr>
      <w:tr>
        <w:tc>
          <w:tcPr/>
          <w:p>
            <w:pPr>
              <w:pStyle w:val="Compact"/>
              <w:jc w:val="left"/>
            </w:pPr>
            <w:r>
              <w:t xml:space="preserve">pyTransRate optimal score</w:t>
            </w:r>
          </w:p>
        </w:tc>
        <w:tc>
          <w:tcPr/>
          <w:p>
            <w:pPr>
              <w:pStyle w:val="Compact"/>
              <w:jc w:val="left"/>
            </w:pPr>
            <w:r>
              <w:t xml:space="preserve">0.49 (0.43–0.52)</w:t>
            </w:r>
          </w:p>
        </w:tc>
        <w:tc>
          <w:tcPr/>
          <w:p>
            <w:pPr>
              <w:pStyle w:val="Compact"/>
              <w:jc w:val="left"/>
            </w:pPr>
            <w:r>
              <w:t xml:space="preserve">0.46 (0.45–0.50)</w:t>
            </w:r>
          </w:p>
        </w:tc>
        <w:tc>
          <w:tcPr/>
          <w:p>
            <w:pPr>
              <w:pStyle w:val="Compact"/>
              <w:jc w:val="left"/>
            </w:pPr>
            <w:r>
              <w:t xml:space="preserve">0.363</w:t>
            </w:r>
          </w:p>
        </w:tc>
        <w:tc>
          <w:tcPr/>
          <w:p>
            <w:pPr>
              <w:pStyle w:val="Compact"/>
              <w:jc w:val="left"/>
            </w:pPr>
            <w:r>
              <w:t xml:space="preserve">5/15</w:t>
            </w:r>
          </w:p>
        </w:tc>
      </w:tr>
      <w:tr>
        <w:tc>
          <w:tcPr/>
          <w:p>
            <w:pPr>
              <w:pStyle w:val="Compact"/>
              <w:jc w:val="left"/>
            </w:pPr>
            <w:r>
              <w:t xml:space="preserve">Unique Swiss-Prot genes</w:t>
            </w:r>
          </w:p>
        </w:tc>
        <w:tc>
          <w:tcPr/>
          <w:p>
            <w:pPr>
              <w:pStyle w:val="Compact"/>
              <w:jc w:val="left"/>
            </w:pPr>
            <w:r>
              <w:t xml:space="preserve">11,843 (9,822–12,360)</w:t>
            </w:r>
          </w:p>
        </w:tc>
        <w:tc>
          <w:tcPr/>
          <w:p>
            <w:pPr>
              <w:pStyle w:val="Compact"/>
              <w:jc w:val="left"/>
            </w:pPr>
            <w:r>
              <w:t xml:space="preserve">12,785 (10,014–13,664)</w:t>
            </w:r>
          </w:p>
        </w:tc>
        <w:tc>
          <w:tcPr/>
          <w:p>
            <w:pPr>
              <w:pStyle w:val="Compact"/>
              <w:jc w:val="left"/>
            </w:pPr>
            <w:r>
              <w:t xml:space="preserve">0.049</w:t>
            </w:r>
          </w:p>
        </w:tc>
        <w:tc>
          <w:tcPr/>
          <w:p>
            <w:pPr>
              <w:pStyle w:val="Compact"/>
              <w:jc w:val="left"/>
            </w:pPr>
            <w:r>
              <w:t xml:space="preserve">13/15</w:t>
            </w:r>
          </w:p>
        </w:tc>
      </w:tr>
      <w:tr>
        <w:tc>
          <w:tcPr/>
          <w:p>
            <w:pPr>
              <w:pStyle w:val="Compact"/>
              <w:jc w:val="left"/>
            </w:pPr>
            <w:r>
              <w:t xml:space="preserve">BUSCO complete (%)</w:t>
            </w:r>
          </w:p>
        </w:tc>
        <w:tc>
          <w:tcPr/>
          <w:p>
            <w:pPr>
              <w:pStyle w:val="Compact"/>
              <w:jc w:val="left"/>
            </w:pPr>
            <w:r>
              <w:t xml:space="preserve">75.7 (43.7–87.3)</w:t>
            </w:r>
          </w:p>
        </w:tc>
        <w:tc>
          <w:tcPr/>
          <w:p>
            <w:pPr>
              <w:pStyle w:val="Compact"/>
              <w:jc w:val="left"/>
            </w:pPr>
            <w:r>
              <w:t xml:space="preserve">86.7 (67.5–92.9)</w:t>
            </w:r>
          </w:p>
        </w:tc>
        <w:tc>
          <w:tcPr/>
          <w:p>
            <w:pPr>
              <w:pStyle w:val="Compact"/>
              <w:jc w:val="left"/>
            </w:pPr>
            <w:r>
              <w:t xml:space="preserve">&lt;0.001</w:t>
            </w:r>
          </w:p>
        </w:tc>
        <w:tc>
          <w:tcPr/>
          <w:p>
            <w:pPr>
              <w:pStyle w:val="Compact"/>
              <w:jc w:val="left"/>
            </w:pPr>
            <w:r>
              <w:t xml:space="preserve">15/15</w:t>
            </w:r>
          </w:p>
        </w:tc>
      </w:tr>
      <w:tr>
        <w:tc>
          <w:tcPr/>
          <w:p>
            <w:pPr>
              <w:pStyle w:val="Compact"/>
              <w:jc w:val="left"/>
            </w:pPr>
            <w:r>
              <w:t xml:space="preserve">BUSCO single-copy (%)</w:t>
            </w:r>
          </w:p>
        </w:tc>
        <w:tc>
          <w:tcPr/>
          <w:p>
            <w:pPr>
              <w:pStyle w:val="Compact"/>
              <w:jc w:val="left"/>
            </w:pPr>
            <w:r>
              <w:t xml:space="preserve">39.8 (30.5–48.3)</w:t>
            </w:r>
          </w:p>
        </w:tc>
        <w:tc>
          <w:tcPr/>
          <w:p>
            <w:pPr>
              <w:pStyle w:val="Compact"/>
              <w:jc w:val="left"/>
            </w:pPr>
            <w:r>
              <w:t xml:space="preserve">64.7 (58.5–75.8)</w:t>
            </w:r>
          </w:p>
        </w:tc>
        <w:tc>
          <w:tcPr/>
          <w:p>
            <w:pPr>
              <w:pStyle w:val="Compact"/>
              <w:jc w:val="left"/>
            </w:pPr>
            <w:r>
              <w:t xml:space="preserve">&lt;0.001</w:t>
            </w:r>
          </w:p>
        </w:tc>
        <w:tc>
          <w:tcPr/>
          <w:p>
            <w:pPr>
              <w:pStyle w:val="Compact"/>
              <w:jc w:val="left"/>
            </w:pPr>
            <w:r>
              <w:t xml:space="preserve">15/15</w:t>
            </w:r>
          </w:p>
        </w:tc>
      </w:tr>
      <w:tr>
        <w:tc>
          <w:tcPr/>
          <w:p>
            <w:pPr>
              <w:pStyle w:val="Compact"/>
              <w:jc w:val="left"/>
            </w:pPr>
            <w:r>
              <w:t xml:space="preserve">BUSCO duplicated (%)</w:t>
            </w:r>
          </w:p>
        </w:tc>
        <w:tc>
          <w:tcPr/>
          <w:p>
            <w:pPr>
              <w:pStyle w:val="Compact"/>
              <w:jc w:val="left"/>
            </w:pPr>
            <w:r>
              <w:t xml:space="preserve">23.8 (15.9–41.7)</w:t>
            </w:r>
          </w:p>
        </w:tc>
        <w:tc>
          <w:tcPr/>
          <w:p>
            <w:pPr>
              <w:pStyle w:val="Compact"/>
              <w:jc w:val="left"/>
            </w:pPr>
            <w:r>
              <w:t xml:space="preserve">13.0 (7.0–20.4)</w:t>
            </w:r>
          </w:p>
        </w:tc>
        <w:tc>
          <w:tcPr/>
          <w:p>
            <w:pPr>
              <w:pStyle w:val="Compact"/>
              <w:jc w:val="left"/>
            </w:pPr>
            <w:r>
              <w:t xml:space="preserve">0.003</w:t>
            </w:r>
          </w:p>
        </w:tc>
        <w:tc>
          <w:tcPr/>
          <w:p>
            <w:pPr>
              <w:pStyle w:val="Compact"/>
              <w:jc w:val="left"/>
            </w:pPr>
            <w:r>
              <w:t xml:space="preserve">1/15</w:t>
            </w:r>
          </w:p>
        </w:tc>
      </w:tr>
      <w:tr>
        <w:tc>
          <w:tcPr/>
          <w:p>
            <w:pPr>
              <w:pStyle w:val="Compact"/>
              <w:jc w:val="left"/>
            </w:pPr>
            <w:r>
              <w:t xml:space="preserve">BUSCO fragmented (%)</w:t>
            </w:r>
          </w:p>
        </w:tc>
        <w:tc>
          <w:tcPr/>
          <w:p>
            <w:pPr>
              <w:pStyle w:val="Compact"/>
              <w:jc w:val="left"/>
            </w:pPr>
            <w:r>
              <w:t xml:space="preserve">8.4 (4.8–14.5)</w:t>
            </w:r>
          </w:p>
        </w:tc>
        <w:tc>
          <w:tcPr/>
          <w:p>
            <w:pPr>
              <w:pStyle w:val="Compact"/>
              <w:jc w:val="left"/>
            </w:pPr>
            <w:r>
              <w:t xml:space="preserve">3.8 (1.6–8.4)</w:t>
            </w:r>
          </w:p>
        </w:tc>
        <w:tc>
          <w:tcPr/>
          <w:p>
            <w:pPr>
              <w:pStyle w:val="Compact"/>
              <w:jc w:val="left"/>
            </w:pPr>
            <w:r>
              <w:t xml:space="preserve">&lt;0.001</w:t>
            </w:r>
          </w:p>
        </w:tc>
        <w:tc>
          <w:tcPr/>
          <w:p>
            <w:pPr>
              <w:pStyle w:val="Compact"/>
              <w:jc w:val="left"/>
            </w:pPr>
            <w:r>
              <w:t xml:space="preserve">1/15</w:t>
            </w:r>
          </w:p>
        </w:tc>
      </w:tr>
      <w:tr>
        <w:tc>
          <w:tcPr/>
          <w:p>
            <w:pPr>
              <w:pStyle w:val="Compact"/>
              <w:jc w:val="left"/>
            </w:pPr>
            <w:r>
              <w:t xml:space="preserve">BUSCO missing (%)</w:t>
            </w:r>
          </w:p>
        </w:tc>
        <w:tc>
          <w:tcPr/>
          <w:p>
            <w:pPr>
              <w:pStyle w:val="Compact"/>
              <w:jc w:val="left"/>
            </w:pPr>
            <w:r>
              <w:t xml:space="preserve">22.4 (7.1–37.3)</w:t>
            </w:r>
          </w:p>
        </w:tc>
        <w:tc>
          <w:tcPr/>
          <w:p>
            <w:pPr>
              <w:pStyle w:val="Compact"/>
              <w:jc w:val="left"/>
            </w:pPr>
            <w:r>
              <w:t xml:space="preserve">6.9 (4.5–21.0)</w:t>
            </w:r>
          </w:p>
        </w:tc>
        <w:tc>
          <w:tcPr/>
          <w:p>
            <w:pPr>
              <w:pStyle w:val="Compact"/>
              <w:jc w:val="left"/>
            </w:pPr>
            <w:r>
              <w:t xml:space="preserve">0.002</w:t>
            </w:r>
          </w:p>
        </w:tc>
        <w:tc>
          <w:tcPr/>
          <w:p>
            <w:pPr>
              <w:pStyle w:val="Compact"/>
              <w:jc w:val="left"/>
            </w:pPr>
            <w:r>
              <w:t xml:space="preserve">0/15</w:t>
            </w:r>
          </w:p>
        </w:tc>
      </w:tr>
    </w:tbl>
    <w:bookmarkEnd w:id="29"/>
    <w:bookmarkStart w:id="30" w:name="table-2"/>
    <w:p>
      <w:pPr>
        <w:pStyle w:val="Heading2"/>
      </w:pPr>
      <w:r>
        <w:t xml:space="preserve">Table 2</w:t>
      </w:r>
    </w:p>
    <w:p>
      <w:pPr>
        <w:pStyle w:val="FirstParagraph"/>
      </w:pPr>
      <w:r>
        <w:rPr>
          <w:b/>
        </w:rPr>
        <w:t>Table 2.</w:t>
      </w:r>
      <w:r>
        <w:t xml:space="preserve"> ORP 4.0.0 compared with each of the four assemblies it merges, across all 59 datasets. Each cell gives the number of datasets in which the ORP assembly is better and, in parentheses, the median difference, ORP minus the assembler (percentage points for percentages; lower is better for BUSCO duplicated). Best single, the best of the four assemblers in each dataset, chosen separately for each metric. All assemblies of a dataset were scored with BUSCO v6.1.0 against the same lineage dataset and with pyTransRate 2.2.2 against the same trimmed, error-corrected reads. Against every assembler, differences in BUSCO completeness and unique genes had q &lt; 0.001 and differences in BUSCO duplication q &lt; 0.005 (Wilcoxon signed-rank, Benjamini-Hochberg within assembler). Unique Swiss-Prot genes counts distinct gene names among DIAMOND hits within 10% of each contig's best (--top 0.1), so a gene whose sequence the merge keeps inside a longer contig with a stronger hit to a related protein is not counted; the row is conservative for ORP (Section 4.3; Supplementary Data S1, sheet Gene_masking). Full statistics, per-run component values and the best single assembler for each metric are in Supplementary Data S1 (sheets ORP_vs_assembler, Components and ORP_vs_best_single).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Metric</w:t>
            </w:r>
          </w:p>
        </w:tc>
        <w:tc>
          <w:tcPr/>
          <w:p>
            <w:pPr>
              <w:pStyle w:val="Compact"/>
              <w:jc w:val="left"/>
            </w:pPr>
            <w:r>
              <w:rPr>
                <w:bCs/>
                <w:b/>
              </w:rPr>
              <w:t xml:space="preserve">Trinity</w:t>
            </w:r>
          </w:p>
        </w:tc>
        <w:tc>
          <w:tcPr/>
          <w:p>
            <w:pPr>
              <w:pStyle w:val="Compact"/>
              <w:jc w:val="left"/>
            </w:pPr>
            <w:r>
              <w:rPr>
                <w:bCs/>
                <w:b/>
              </w:rPr>
              <w:t xml:space="preserve">rnaSPAdes auto-k</w:t>
            </w:r>
          </w:p>
        </w:tc>
        <w:tc>
          <w:tcPr/>
          <w:p>
            <w:pPr>
              <w:pStyle w:val="Compact"/>
              <w:jc w:val="left"/>
            </w:pPr>
            <w:r>
              <w:rPr>
                <w:bCs/>
                <w:b/>
              </w:rPr>
              <w:t xml:space="preserve">rnaSPAdes high-k</w:t>
            </w:r>
          </w:p>
        </w:tc>
        <w:tc>
          <w:tcPr/>
          <w:p>
            <w:pPr>
              <w:pStyle w:val="Compact"/>
              <w:jc w:val="left"/>
            </w:pPr>
            <w:r>
              <w:rPr>
                <w:bCs/>
                <w:b/>
              </w:rPr>
              <w:t xml:space="preserve">Trans-ABySS</w:t>
            </w:r>
          </w:p>
        </w:tc>
        <w:tc>
          <w:tcPr/>
          <w:p>
            <w:pPr>
              <w:pStyle w:val="Compact"/>
              <w:jc w:val="left"/>
            </w:pPr>
            <w:r>
              <w:rPr>
                <w:bCs/>
                <w:b/>
              </w:rPr>
              <w:t xml:space="preserve">Best single</w:t>
            </w:r>
          </w:p>
        </w:tc>
      </w:tr>
      <w:tr>
        <w:tc>
          <w:tcPr/>
          <w:p>
            <w:pPr>
              <w:pStyle w:val="Compact"/>
              <w:jc w:val="left"/>
            </w:pPr>
            <w:r>
              <w:t xml:space="preserve">BUSCO complete (%)</w:t>
            </w:r>
          </w:p>
        </w:tc>
        <w:tc>
          <w:tcPr/>
          <w:p>
            <w:pPr>
              <w:pStyle w:val="Compact"/>
              <w:jc w:val="left"/>
            </w:pPr>
            <w:r>
              <w:t xml:space="preserve">54 (+2.9)</w:t>
            </w:r>
          </w:p>
        </w:tc>
        <w:tc>
          <w:tcPr/>
          <w:p>
            <w:pPr>
              <w:pStyle w:val="Compact"/>
              <w:jc w:val="left"/>
            </w:pPr>
            <w:r>
              <w:t xml:space="preserve">57 (+1.4)</w:t>
            </w:r>
          </w:p>
        </w:tc>
        <w:tc>
          <w:tcPr/>
          <w:p>
            <w:pPr>
              <w:pStyle w:val="Compact"/>
              <w:jc w:val="left"/>
            </w:pPr>
            <w:r>
              <w:t xml:space="preserve">59 (+7.2)</w:t>
            </w:r>
          </w:p>
        </w:tc>
        <w:tc>
          <w:tcPr/>
          <w:p>
            <w:pPr>
              <w:pStyle w:val="Compact"/>
              <w:jc w:val="left"/>
            </w:pPr>
            <w:r>
              <w:t xml:space="preserve">58 (+5.9)</w:t>
            </w:r>
          </w:p>
        </w:tc>
        <w:tc>
          <w:tcPr/>
          <w:p>
            <w:pPr>
              <w:pStyle w:val="Compact"/>
              <w:jc w:val="left"/>
            </w:pPr>
            <w:r>
              <w:t xml:space="preserve">53 (+1.1)</w:t>
            </w:r>
          </w:p>
        </w:tc>
      </w:tr>
      <w:tr>
        <w:tc>
          <w:tcPr/>
          <w:p>
            <w:pPr>
              <w:pStyle w:val="Compact"/>
              <w:jc w:val="left"/>
            </w:pPr>
            <w:r>
              <w:t xml:space="preserve">BUSCO duplicated (%)</w:t>
            </w:r>
          </w:p>
        </w:tc>
        <w:tc>
          <w:tcPr/>
          <w:p>
            <w:pPr>
              <w:pStyle w:val="Compact"/>
              <w:jc w:val="left"/>
            </w:pPr>
            <w:r>
              <w:t xml:space="preserve">59 (−28.3)</w:t>
            </w:r>
          </w:p>
        </w:tc>
        <w:tc>
          <w:tcPr/>
          <w:p>
            <w:pPr>
              <w:pStyle w:val="Compact"/>
              <w:jc w:val="left"/>
            </w:pPr>
            <w:r>
              <w:t xml:space="preserve">58 (−13.7)</w:t>
            </w:r>
          </w:p>
        </w:tc>
        <w:tc>
          <w:tcPr/>
          <w:p>
            <w:pPr>
              <w:pStyle w:val="Compact"/>
              <w:jc w:val="left"/>
            </w:pPr>
            <w:r>
              <w:t xml:space="preserve">54 (−7.1)</w:t>
            </w:r>
          </w:p>
        </w:tc>
        <w:tc>
          <w:tcPr/>
          <w:p>
            <w:pPr>
              <w:pStyle w:val="Compact"/>
              <w:jc w:val="left"/>
            </w:pPr>
            <w:r>
              <w:t xml:space="preserve">42 (−5.0)</w:t>
            </w:r>
          </w:p>
        </w:tc>
        <w:tc>
          <w:tcPr/>
          <w:p>
            <w:pPr>
              <w:pStyle w:val="Compact"/>
              <w:jc w:val="left"/>
            </w:pPr>
            <w:r>
              <w:t xml:space="preserve">38 (−2.2)</w:t>
            </w:r>
          </w:p>
        </w:tc>
      </w:tr>
      <w:tr>
        <w:tc>
          <w:tcPr/>
          <w:p>
            <w:pPr>
              <w:pStyle w:val="Compact"/>
              <w:jc w:val="left"/>
            </w:pPr>
            <w:r>
              <w:t xml:space="preserve">Unique Swiss-Prot genes</w:t>
            </w:r>
          </w:p>
        </w:tc>
        <w:tc>
          <w:tcPr/>
          <w:p>
            <w:pPr>
              <w:pStyle w:val="Compact"/>
              <w:jc w:val="left"/>
            </w:pPr>
            <w:r>
              <w:t xml:space="preserve">59 (+911)</w:t>
            </w:r>
          </w:p>
        </w:tc>
        <w:tc>
          <w:tcPr/>
          <w:p>
            <w:pPr>
              <w:pStyle w:val="Compact"/>
              <w:jc w:val="left"/>
            </w:pPr>
            <w:r>
              <w:t xml:space="preserve">59 (+639)</w:t>
            </w:r>
          </w:p>
        </w:tc>
        <w:tc>
          <w:tcPr/>
          <w:p>
            <w:pPr>
              <w:pStyle w:val="Compact"/>
              <w:jc w:val="left"/>
            </w:pPr>
            <w:r>
              <w:t xml:space="preserve">59 (+1,147)</w:t>
            </w:r>
          </w:p>
        </w:tc>
        <w:tc>
          <w:tcPr/>
          <w:p>
            <w:pPr>
              <w:pStyle w:val="Compact"/>
              <w:jc w:val="left"/>
            </w:pPr>
            <w:r>
              <w:t xml:space="preserve">57 (+998)</w:t>
            </w:r>
          </w:p>
        </w:tc>
        <w:tc>
          <w:tcPr/>
          <w:p>
            <w:pPr>
              <w:pStyle w:val="Compact"/>
              <w:jc w:val="left"/>
            </w:pPr>
            <w:r>
              <w:t xml:space="preserve">57 (+434)</w:t>
            </w:r>
          </w:p>
        </w:tc>
      </w:tr>
      <w:tr>
        <w:tc>
          <w:tcPr/>
          <w:p>
            <w:pPr>
              <w:pStyle w:val="Compact"/>
              <w:jc w:val="left"/>
            </w:pPr>
            <w:r>
              <w:t xml:space="preserve">pyTransRate score</w:t>
            </w:r>
          </w:p>
        </w:tc>
        <w:tc>
          <w:tcPr/>
          <w:p>
            <w:pPr>
              <w:pStyle w:val="Compact"/>
              <w:jc w:val="left"/>
            </w:pPr>
            <w:r>
              <w:t xml:space="preserve">54 (+0.056)</w:t>
            </w:r>
          </w:p>
        </w:tc>
        <w:tc>
          <w:tcPr/>
          <w:p>
            <w:pPr>
              <w:pStyle w:val="Compact"/>
              <w:jc w:val="left"/>
            </w:pPr>
            <w:r>
              <w:t xml:space="preserve">46 (+0.079)</w:t>
            </w:r>
          </w:p>
        </w:tc>
        <w:tc>
          <w:tcPr/>
          <w:p>
            <w:pPr>
              <w:pStyle w:val="Compact"/>
              <w:jc w:val="left"/>
            </w:pPr>
            <w:r>
              <w:t xml:space="preserve">24 (−0.011)</w:t>
            </w:r>
          </w:p>
        </w:tc>
        <w:tc>
          <w:tcPr/>
          <w:p>
            <w:pPr>
              <w:pStyle w:val="Compact"/>
              <w:jc w:val="left"/>
            </w:pPr>
            <w:r>
              <w:t xml:space="preserve">55 (+0.087)</w:t>
            </w:r>
          </w:p>
        </w:tc>
        <w:tc>
          <w:tcPr/>
          <w:p>
            <w:pPr>
              <w:pStyle w:val="Compact"/>
              <w:jc w:val="left"/>
            </w:pPr>
            <w:r>
              <w:t xml:space="preserve">20 (−0.014)</w:t>
            </w:r>
          </w:p>
        </w:tc>
      </w:tr>
      <w:tr>
        <w:tc>
          <w:tcPr/>
          <w:p>
            <w:pPr>
              <w:pStyle w:val="Compact"/>
              <w:jc w:val="left"/>
            </w:pPr>
            <w:r>
              <w:t xml:space="preserve">pyTransRate optimal score</w:t>
            </w:r>
          </w:p>
        </w:tc>
        <w:tc>
          <w:tcPr/>
          <w:p>
            <w:pPr>
              <w:pStyle w:val="Compact"/>
              <w:jc w:val="left"/>
            </w:pPr>
            <w:r>
              <w:t xml:space="preserve">47 (+0.030)</w:t>
            </w:r>
          </w:p>
        </w:tc>
        <w:tc>
          <w:tcPr/>
          <w:p>
            <w:pPr>
              <w:pStyle w:val="Compact"/>
              <w:jc w:val="left"/>
            </w:pPr>
            <w:r>
              <w:t xml:space="preserve">11 (−0.014)</w:t>
            </w:r>
          </w:p>
        </w:tc>
        <w:tc>
          <w:tcPr/>
          <w:p>
            <w:pPr>
              <w:pStyle w:val="Compact"/>
              <w:jc w:val="left"/>
            </w:pPr>
            <w:r>
              <w:t xml:space="preserve">23 (−0.012)</w:t>
            </w:r>
          </w:p>
        </w:tc>
        <w:tc>
          <w:tcPr/>
          <w:p>
            <w:pPr>
              <w:pStyle w:val="Compact"/>
              <w:jc w:val="left"/>
            </w:pPr>
            <w:r>
              <w:t xml:space="preserve">55 (+0.067)</w:t>
            </w:r>
          </w:p>
        </w:tc>
        <w:tc>
          <w:tcPr/>
          <w:p>
            <w:pPr>
              <w:pStyle w:val="Compact"/>
              <w:jc w:val="left"/>
            </w:pPr>
            <w:r>
              <w:t xml:space="preserve">7 (−0.019)</w:t>
            </w:r>
          </w:p>
        </w:tc>
      </w:tr>
      <w:tr>
        <w:tc>
          <w:tcPr/>
          <w:p>
            <w:pPr>
              <w:pStyle w:val="Compact"/>
              <w:jc w:val="left"/>
            </w:pPr>
            <w:r>
              <w:t xml:space="preserve">Good mappings (%)</w:t>
            </w:r>
          </w:p>
        </w:tc>
        <w:tc>
          <w:tcPr/>
          <w:p>
            <w:pPr>
              <w:pStyle w:val="Compact"/>
              <w:jc w:val="left"/>
            </w:pPr>
            <w:r>
              <w:t xml:space="preserve">45 (+2.1)</w:t>
            </w:r>
          </w:p>
        </w:tc>
        <w:tc>
          <w:tcPr/>
          <w:p>
            <w:pPr>
              <w:pStyle w:val="Compact"/>
              <w:jc w:val="left"/>
            </w:pPr>
            <w:r>
              <w:t xml:space="preserve">12 (−1.3)</w:t>
            </w:r>
          </w:p>
        </w:tc>
        <w:tc>
          <w:tcPr/>
          <w:p>
            <w:pPr>
              <w:pStyle w:val="Compact"/>
              <w:jc w:val="left"/>
            </w:pPr>
            <w:r>
              <w:t xml:space="preserve">18 (−0.6)</w:t>
            </w:r>
          </w:p>
        </w:tc>
        <w:tc>
          <w:tcPr/>
          <w:p>
            <w:pPr>
              <w:pStyle w:val="Compact"/>
              <w:jc w:val="left"/>
            </w:pPr>
            <w:r>
              <w:t xml:space="preserve">59 (+3.6)</w:t>
            </w:r>
          </w:p>
        </w:tc>
        <w:tc>
          <w:tcPr/>
          <w:p>
            <w:pPr>
              <w:pStyle w:val="Compact"/>
              <w:jc w:val="left"/>
            </w:pPr>
            <w:r>
              <w:t xml:space="preserve">11 (−1.3)</w:t>
            </w:r>
          </w:p>
        </w:tc>
      </w:tr>
    </w:tbl>
    <w:bookmarkEnd w:id="30"/>
    <w:bookmarkStart w:id="31" w:name="figure-1"/>
    <w:p>
      <w:pPr>
        <w:pStyle w:val="Heading2"/>
      </w:pPr>
      <w:r>
        <w:t xml:space="preserve">Figure 1</w:t>
      </w:r>
    </w:p>
    <w:p>
      <w:pPr>
        <w:pStyle w:val="FirstParagraph"/>
      </w:pPr>
      <w:r>
        <w:rPr>
          <w:bCs/>
          <w:b/>
        </w:rPr>
        <w:t xml:space="preserve">Figure 1.</w:t>
      </w:r>
      <w:r>
        <w:t xml:space="preserve"> </w:t>
      </w:r>
      <w:r>
        <w:t xml:space="preserve">ORP 4.0.0 assemblies compared with the previous assembly built from the same reads. Each point is one dataset; the x-axis shows the previous assembly and the y-axis the ORP 4.0.0 assembly. Blue circles, deposited TSA assemblies (n = 44; Table 1a); orange squares, original ORP assemblies (n = 15; Table 1b). Points above the dashed identity line are higher in the ORP 4.0.0 assembly. (A) BUSCO completeness. (B) BUSCO duplication. (C) pyTransRate score. (D) Percentage of read pairs with good (concordant) mappings. BUSCO v6.1.0, scored against the lineage dataset for each group (Methods). Values are in Supplementary Data S1 (sheet Datasets); the figure is drawn by Supplementary File S2.</w:t>
      </w:r>
    </w:p>
    <w:bookmarkEnd w:id="31"/>
    <w:bookmarkStart w:id="32" w:name="discussion"/>
    <w:p>
      <w:pPr>
        <w:pStyle w:val="Heading2"/>
      </w:pPr>
      <w:r>
        <w:t xml:space="preserve">5 Discussion</w:t>
      </w:r>
    </w:p>
    <w:p>
      <w:pPr>
        <w:pStyle w:val="FirstParagraph"/>
      </w:pPr>
      <w:r>
        <w:t xml:space="preserve">Across 59 public datasets from six taxonomic groups, each scored against a lineage-specific BUSCO dataset, ORP 4.0.0 produced assemblies that were more complete and less redundant than the deposited TSA assemblies, and less redundant than the original ORP without loss of completeness. Against TSA, the gain is broad: the ORP 4.0.0 assembly was more complete, recovered more distinct genes and had more concordant read mapping in every dataset. Against the original ORP, the gain is specific: ORP 4.0.0 kept the read support that motivated the multi-assembler design, raised completeness in every dataset, and removed much of the redundancy that was its main weakness. It was also more complete, richer in genes and less redundant than each of the four assemblies it merges, while matching rather than exceeding the read support of the best of them, which assembler that is differing from dataset to dataset.</w:t>
      </w:r>
    </w:p>
    <w:p>
      <w:pPr>
        <w:pStyle w:val="BodyText"/>
      </w:pPr>
      <w:r>
        <w:t xml:space="preserve">These results have a practical reading for users of public data. For many TSA records, re-assembling the underlying reads with current methods will yield a markedly better reference, and the improvement is largest for the weakest deposited assemblies. Where re-assembly does not help, as for the five TSA datasets that stayed below 35% complete, the limit is likely the data, and users should treat those transcriptomes with caution regardless of assembler.</w:t>
      </w:r>
    </w:p>
    <w:p>
      <w:pPr>
        <w:pStyle w:val="BodyText"/>
      </w:pPr>
      <w:r>
        <w:t xml:space="preserve">Several limitations apply. First, TSA assemblies are curated products. Submitters filter short and low-support contigs and may remove contaminants, which lowers contig counts in ways that favor TSA on that metric and work against it on read mapping. Second, some TSA assemblies were built from several sequencing runs, while each was evaluated here against a single run; this could understate read mapping for those assemblies. Third, every assembly was scored against ORP’s trimmed and error-corrected reads, which keeps comparisons within a library fair but is not the read set the original authors used. Fourth, lineage-specific BUSCO datasets resolve gene content more finely than a pan-eukaryotic set, but they differ in size and taxonomic fit: completeness cannot be compared across groups, echinoderms had to be scored against the broad metazoan set, and parasites with reduced gene sets, such as</w:t>
      </w:r>
      <w:r>
        <w:t xml:space="preserve"> </w:t>
      </w:r>
      <w:r>
        <w:rPr>
          <w:iCs/>
          <w:i/>
        </w:rPr>
        <w:t xml:space="preserve">Aeginetia indica</w:t>
      </w:r>
      <w:r>
        <w:t xml:space="preserve">,</w:t>
      </w:r>
      <w:r>
        <w:t xml:space="preserve"> </w:t>
      </w:r>
      <w:r>
        <w:rPr>
          <w:iCs/>
          <w:i/>
        </w:rPr>
        <w:t xml:space="preserve">Entamoeba histolytica</w:t>
      </w:r>
      <w:r>
        <w:t xml:space="preserve"> </w:t>
      </w:r>
      <w:r>
        <w:t xml:space="preserve">and the flatworms, score low whatever the assembler. Finally, the original ORP comparison rests on 15 datasets: enough to show consistent shifts in redundancy and completeness, but too few to compare groups.</w:t>
      </w:r>
    </w:p>
    <w:p>
      <w:pPr>
        <w:pStyle w:val="BodyText"/>
      </w:pPr>
      <w:r>
        <w:t xml:space="preserve">Polyploid genomes are the clearest limitation of the merge. In all 14 land plants, ORP 4.0.0 recovered more distinct genes than any of its four component assemblies, and it was the most complete assembly in 12 and within 0.2 points of the most complete in the other two. Read support, however, fell behind the best component in the allopolyploids: concordant mapping to the ORP assembly trailed the best single assembler by 15.5 points in the allohexaploid </w:t>
      </w:r>
      <w:r>
        <w:rPr>
          <w:i/>
        </w:rPr>
        <w:t>Avena sativa</w:t>
      </w:r>
      <w:r>
        <w:t xml:space="preserve"> (79.2% vs 94.7% for rnaSPAdes high-k), by 8.7 in the allotetraploid </w:t>
      </w:r>
      <w:r>
        <w:rPr>
          <w:i/>
        </w:rPr>
        <w:t>Brassica juncea</w:t>
      </w:r>
      <w:r>
        <w:t xml:space="preserve">, and by about 5 in </w:t>
      </w:r>
      <w:r>
        <w:rPr>
          <w:i/>
        </w:rPr>
        <w:t>Nicotiana tabacum</w:t>
      </w:r>
      <w:r>
        <w:t xml:space="preserve"> and the triploid </w:t>
      </w:r>
      <w:r>
        <w:rPr>
          <w:i/>
        </w:rPr>
        <w:t>Musa</w:t>
      </w:r>
      <w:r>
        <w:t xml:space="preserve"> ABB [VERIFY ploidy], against a median of 0.8 points outside plants. Duplication shows the same pattern from the other side. The </w:t>
      </w:r>
      <w:r>
        <w:rPr>
          <w:i/>
        </w:rPr>
        <w:t>B. juncea</w:t>
      </w:r>
      <w:r>
        <w:t xml:space="preserve"> and </w:t>
      </w:r>
      <w:r>
        <w:rPr>
          <w:i/>
        </w:rPr>
        <w:t>N. tabacum</w:t>
      </w:r>
      <w:r>
        <w:t xml:space="preserve"> assemblies were 60.9% and 30.0% duplicated, far below Trinity (90.6% and 88.2%) and rnaSPAdes (72–84%) but well above Trans-ABySS (3.7% and 5.6%), whose low duplication came with the weakest read support of the four assemblers (60.4% good mappings in </w:t>
      </w:r>
      <w:r>
        <w:rPr>
          <w:i/>
        </w:rPr>
        <w:t>B. juncea</w:t>
      </w:r>
      <w:r>
        <w:t xml:space="preserve">), suggesting it collapses homeologs rather than resolving them. We attribute ORP's behavior to the two places where the merge removes copies of a gene. Within a Swiss-Prot gene, beyond one representative it rescues at most two further contigs, and only those the representative covers over less than half their length at ≥95% identity. Homeologs diverged beyond that threshold are kept and counted by BUSCO as duplicates, while a gene with more homeologs and isoforms than the cap allows loses some. After that selection, CD-HIT-EST removes any contig that is at least 98% identical to part of a longer one, whatever gene either contig hits. Reads from the removed copies no longer map as concordant pairs. Land plants lost the most sequence this way: genes found in a component but with no match in the ORP assembly numbered a median of 149 per land-plant dataset, against 16 to 80 in the other groups, and </w:t>
      </w:r>
      <w:r>
        <w:rPr>
          <w:i/>
        </w:rPr>
        <w:t>A. sativa</w:t>
      </w:r>
      <w:r>
        <w:t xml:space="preserve"> had the second highest count of all 59 datasets (267). Even there, most genes missing from the ORP count were masked rather than lost (936 of 1,340 in </w:t>
      </w:r>
      <w:r>
        <w:rPr>
          <w:i/>
        </w:rPr>
        <w:t>A. sativa</w:t>
      </w:r>
      <w:r>
        <w:t xml:space="preserve">, 774 of 1,031 in </w:t>
      </w:r>
      <w:r>
        <w:rPr>
          <w:i/>
        </w:rPr>
        <w:t>N. tabacum</w:t>
      </w:r>
      <w:r>
        <w:t xml:space="preserve">; Section 4.3), so the gene counts understate what the plant assemblies contain. In allopolyploids BUSCO duplication is also a weak guide to redundancy, since two or three expressed copies of a single-copy ortholog are expected. Ploidy does not explain everything: the diploid </w:t>
      </w:r>
      <w:r>
        <w:rPr>
          <w:i/>
        </w:rPr>
        <w:t>Thlaspi arvense</w:t>
      </w:r>
      <w:r>
        <w:t xml:space="preserve"> was 24.4% duplicated, against 56–73% for Trinity and rnaSPAdes [VERIFY: ploidy; heterozygosity or retained paralogs?]. Users assembling polyploid transcriptomes should expect more duplication and less read support than for diploids, and should judge assemblies by read mapping as well as BUSCO.</w:t>
      </w:r>
    </w:p>
    <w:p>
      <w:pPr>
        <w:pStyle w:val="BodyText"/>
      </w:pPr>
      <w:r>
        <w:rPr>
          <w:bCs/>
          <w:b/>
        </w:rPr>
        <w:t xml:space="preserve">Availability.</w:t>
      </w:r>
      <w:r>
        <w:t xml:space="preserve"> </w:t>
      </w:r>
      <w:r>
        <w:t xml:space="preserve">ORP 4.0.0 is available at [URL] under [license], with a container image at [registry]. Assemblies, BUSCO and pyTransRate outputs, Supplementary Data S1, and the analysis and figure code are archived at [Zenodo DOI].</w:t>
      </w:r>
    </w:p>
    <w:p>
      <w:pPr>
        <w:pStyle w:val="BodyText"/>
      </w:pPr>
      <w:r>
        <w:rPr>
          <w:bCs/>
          <w:b/>
        </w:rPr>
        <w:t xml:space="preserve">Supplementary material.</w:t>
      </w:r>
    </w:p>
    <w:p>
      <w:pPr>
        <w:pStyle w:val="BodyText"/>
      </w:pPr>
      <w:r>
        <w:rPr>
          <w:iCs/>
          <w:i/>
        </w:rPr>
        <w:t xml:space="preserve">Supplementary Data S1</w:t>
      </w:r>
      <w:r>
        <w:t xml:space="preserve"> </w:t>
      </w:r>
      <w:r>
        <w:t xml:space="preserve">(ORP_4.0.0_lineage_results.xlsx). All results reported in the paper, as values. Sheets: README (methods, versions and sheet guide); Summary (headline numbers); Table1a and Table1b (Table 1, with Wilcoxon P and Benjamini-Hochberg q); Datasets (each of the 59 datasets: accessions, BUSCO lineage, ORP build, read pairs, coverage threshold, and previous and ORP 4.0.0 values with their difference for every metric); Groups (medians by taxonomic group); ORP_vs_assembler (Table 2: ORP 4.0.0 against each component assembler, with medians, counts, P and q); ORP_vs_best_single (Table 2, best single assembler); Components (ORP 4.0.0 and its four component assemblies, per run); Settings_dev30_vs_400 (Section 4.4, first 50 datasets); RunTime (wall time and peak memory for each run; CPU-hours and per-step hours for the first 50).</w:t>
      </w:r>
    </w:p>
    <w:p>
      <w:pPr>
        <w:pStyle w:val="BodyText"/>
      </w:pPr>
      <w:r>
        <w:rPr>
          <w:iCs/>
          <w:i/>
        </w:rPr>
        <w:t xml:space="preserve">Supplementary File S2</w:t>
      </w:r>
      <w:r>
        <w:t xml:space="preserve"> </w:t>
      </w:r>
      <w:r>
        <w:t xml:space="preserve">(make_figure1.py). Python script that draws Figure 1 from sheet Datasets of Supplementary Data S1 (python make_figure1.py ORP_4.0.0_lineage_results.xlsx Figure1; requires pandas, openpyxl and matplotlib).</w:t>
      </w:r>
    </w:p>
    <w:p>
      <w:pPr>
        <w:pStyle w:val="BodyText"/>
      </w:pPr>
      <w:r>
        <w:rPr>
          <w:bCs/>
          <w:b/>
        </w:rPr>
        <w:t xml:space="preserve">Funding.</w:t>
      </w:r>
      <w:r>
        <w:t xml:space="preserve"> </w:t>
      </w:r>
      <w:r>
        <w:t xml:space="preserve">[ ]</w:t>
      </w:r>
    </w:p>
    <w:p>
      <w:pPr>
        <w:pStyle w:val="BodyText"/>
      </w:pPr>
      <w:r>
        <w:rPr>
          <w:bCs/>
          <w:b/>
        </w:rPr>
        <w:t xml:space="preserve">Conflict of interest.</w:t>
      </w:r>
      <w:r>
        <w:t xml:space="preserve"> </w:t>
      </w:r>
      <w:r>
        <w:t xml:space="preserve">None declared.</w:t>
      </w:r>
    </w:p>
    <w:p>
      <w:pPr>
        <w:pStyle w:val="BodyText"/>
      </w:pPr>
      <w:r>
        <w:rPr>
          <w:bCs/>
          <w:b/>
        </w:rPr>
        <w:t xml:space="preserve">References</w:t>
      </w:r>
      <w:r>
        <w:t xml:space="preserve"> </w:t>
      </w:r>
      <w:r>
        <w:t xml:space="preserve">[to format]</w:t>
      </w:r>
    </w:p>
    <w:p>
      <w:pPr>
        <w:numPr>
          <w:ilvl w:val="0"/>
          <w:numId w:val="1001"/>
        </w:numPr>
      </w:pPr>
      <w:r>
        <w:t xml:space="preserve">Bushmanova E, et al. (2019) rnaSPAdes: a de novo transcriptome assembler and its application to RNA-Seq data. GigaScience 8:giz100.</w:t>
      </w:r>
    </w:p>
    <w:p>
      <w:pPr>
        <w:numPr>
          <w:ilvl w:val="0"/>
          <w:numId w:val="1001"/>
        </w:numPr>
      </w:pPr>
      <w:r>
        <w:t xml:space="preserve">Grabherr MG, et al. (2011) Full-length transcriptome assembly from RNA-Seq data without a reference genome. Nat Biotechnol 29:644–652.</w:t>
      </w:r>
    </w:p>
    <w:p>
      <w:pPr>
        <w:numPr>
          <w:ilvl w:val="0"/>
          <w:numId w:val="1001"/>
        </w:numPr>
      </w:pPr>
      <w:r>
        <w:t xml:space="preserve">MacManes MD (2018) The Oyster River Protocol: a multi-assembler and kmer approach for de novo transcriptome assembly. PeerJ 6:e5428.</w:t>
      </w:r>
    </w:p>
    <w:p>
      <w:pPr>
        <w:numPr>
          <w:ilvl w:val="0"/>
          <w:numId w:val="1001"/>
        </w:numPr>
      </w:pPr>
      <w:r>
        <w:t xml:space="preserve">Smith-Unna R, et al. (2016) TransRate: reference-free quality assessment of de novo transcriptome assemblies. Genome Res 26:1134–1144.</w:t>
      </w:r>
    </w:p>
    <w:p>
      <w:pPr>
        <w:numPr>
          <w:ilvl w:val="0"/>
          <w:numId w:val="1001"/>
        </w:numPr>
      </w:pPr>
      <w:r>
        <w:t xml:space="preserve">[BUSCO v6 citation]</w:t>
      </w:r>
    </w:p>
    <w:p>
      <w:pPr>
        <w:numPr>
          <w:ilvl w:val="0"/>
          <w:numId w:val="1001"/>
        </w:numPr>
      </w:pPr>
      <w:r>
        <w:t xml:space="preserve">[chowder citation or URL]</w:t>
      </w:r>
    </w:p>
    <w:p>
      <w:pPr>
        <w:numPr>
          <w:ilvl w:val="0"/>
          <w:numId w:val="1001"/>
        </w:numPr>
      </w:pPr>
      <w:r>
        <w:t xml:space="preserve">[pyTransRate citation or URL]</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2026-10-23T16:52:18Z</dcterms:created>
  <dcterms:modified xsi:type="dcterms:W3CDTF">2026-10-23T16:52:18Z</dcterms:modified>
</cp:coreProperties>
</file>

<file path=docProps/custom.xml><?xml version="1.0" encoding="utf-8"?>
<Properties xmlns="http://schemas.openxmlformats.org/officeDocument/2006/custom-properties" xmlns:vt="http://schemas.openxmlformats.org/officeDocument/2006/docPropsVTypes"/>
</file>