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D3A66"/>
          <w:sz w:val="36"/>
        </w:rPr>
        <w:t>3D Mezzanine Model, Handoff Plan to TUUCI</w:t>
      </w:r>
    </w:p>
    <w:p>
      <w:pPr>
        <w:spacing w:after="80"/>
      </w:pPr>
      <w:r>
        <w:rPr>
          <w:b w:val="0"/>
          <w:sz w:val="18"/>
        </w:rPr>
        <w:t>Prepared 07/14/2026 · Douglas O'Keefe, Continuous Improvement · DRAFT for review with Engineering + IT</w:t>
      </w:r>
    </w:p>
    <w:p>
      <w:pPr>
        <w:spacing w:before="200" w:after="60"/>
      </w:pPr>
      <w:r>
        <w:rPr>
          <w:b/>
          <w:color w:val="1D3A66"/>
          <w:sz w:val="28"/>
        </w:rPr>
        <w:t>1 · What TUUCI is receiving</w:t>
      </w:r>
    </w:p>
    <w:p>
      <w:pPr>
        <w:pStyle w:val="ListBullet"/>
        <w:spacing w:after="40"/>
      </w:pPr>
      <w:r>
        <w:rPr>
          <w:b/>
        </w:rPr>
        <w:t>3D Mezzanine Model</w:t>
      </w:r>
      <w:r>
        <w:t>: single-file web app of the whole mezzanine (Meritage, Sola, Canyon Crew) animated with live takt/cycle/current-pace math, per-product standard work, editable layouts and times. Runs in any browser, no install.</w:t>
      </w:r>
    </w:p>
    <w:p>
      <w:pPr>
        <w:pStyle w:val="ListBullet"/>
        <w:spacing w:after="40"/>
      </w:pPr>
      <w:r>
        <w:rPr>
          <w:b/>
        </w:rPr>
        <w:t>Source code</w:t>
      </w:r>
      <w:r>
        <w:t>: one JavaScript source file plus a one-command build.</w:t>
      </w:r>
    </w:p>
    <w:p>
      <w:pPr>
        <w:pStyle w:val="ListBullet"/>
        <w:spacing w:after="40"/>
      </w:pPr>
      <w:r>
        <w:rPr>
          <w:b/>
        </w:rPr>
        <w:t>Data &amp; assumptions register (KNOWLEDGE.md)</w:t>
      </w:r>
      <w:r>
        <w:t>: every measured SWI, which numbers are measured vs estimated, and the model assumptions.</w:t>
      </w:r>
    </w:p>
    <w:p>
      <w:pPr>
        <w:pStyle w:val="ListBullet"/>
        <w:spacing w:after="40"/>
      </w:pPr>
      <w:r>
        <w:rPr>
          <w:b/>
        </w:rPr>
        <w:t>Related docs</w:t>
      </w:r>
      <w:r>
        <w:t>: Meritage connector ECN draft, PCN draft, improvement presentation.</w:t>
      </w:r>
    </w:p>
    <w:p>
      <w:pPr>
        <w:spacing w:before="200" w:after="60"/>
      </w:pPr>
      <w:r>
        <w:rPr>
          <w:b/>
          <w:color w:val="1D3A66"/>
          <w:sz w:val="28"/>
        </w:rPr>
        <w:t>2 · The data problem (why storage must change)</w:t>
      </w:r>
    </w:p>
    <w:p>
      <w:pPr>
        <w:spacing w:after="120"/>
      </w:pPr>
      <w:r>
        <w:rPr>
          <w:b w:val="0"/>
          <w:sz w:val="21"/>
        </w:rPr>
        <w:t>Today the app saves to (1) the browser localStorage, that computer only; (2) layouts baked into each saved copy of the file, so every copy becomes its own fork; (3) manual export/import files. None of these sync between people: if a supervisor rebalances a line or updates times from a new SWI, nobody else sees it. There is no single source of truth. Fine for a one-person tool; not acceptable company-wide.</w:t>
      </w:r>
    </w:p>
    <w:p>
      <w:pPr>
        <w:spacing w:before="200" w:after="60"/>
      </w:pPr>
      <w:r>
        <w:rPr>
          <w:b/>
          <w:color w:val="1D3A66"/>
          <w:sz w:val="28"/>
        </w:rPr>
        <w:t>3 · Where the data should live (verified recommendation)</w:t>
      </w:r>
    </w:p>
    <w:p>
      <w:pPr>
        <w:spacing w:after="80"/>
      </w:pPr>
      <w:r>
        <w:rPr>
          <w:b w:val="0"/>
          <w:sz w:val="21"/>
        </w:rPr>
        <w:t>The right home is the Microsoft 365 that TUUCI already pays for. No new server to host or maintain. The points below were checked against Microsoft documentation.</w:t>
      </w:r>
    </w:p>
    <w:p>
      <w:pPr>
        <w:spacing w:after="40"/>
      </w:pPr>
      <w:r>
        <w:rPr>
          <w:b/>
          <w:sz w:val="21"/>
        </w:rPr>
        <w:t>The store: a SharePoint List, one row per saved layout, on a shared SharePoint/Teams site.</w:t>
      </w:r>
    </w:p>
    <w:p>
      <w:pPr>
        <w:spacing w:after="80"/>
      </w:pPr>
      <w:r>
        <w:rPr>
          <w:b w:val="0"/>
          <w:sz w:val="21"/>
        </w:rPr>
        <w:t>The app reads and writes it through the Microsoft Graph API using each person’s normal M365 sign-in. When one person saves, everyone gets it on next load. This is the durable form of "run it on our OneDrive."</w:t>
      </w:r>
    </w:p>
    <w:p>
      <w:pPr>
        <w:spacing w:after="40"/>
      </w:pPr>
      <w:r>
        <w:rPr>
          <w:b w:val="0"/>
          <w:sz w:val="21"/>
        </w:rPr>
        <w:t>Why a List and not a single JSON file on OneDrive: a shared file is unsafe. When two people save within a few seconds, OneDrive silently keeps a conflict copy (for example layouts-MARKS-PC.json) and one person’s edits disappear from the copy everyone else is reading. A SharePoint List, through Graph, gives:</w:t>
      </w:r>
    </w:p>
    <w:p>
      <w:pPr>
        <w:pStyle w:val="ListBullet"/>
        <w:spacing w:after="40"/>
      </w:pPr>
      <w:r>
        <w:t>collisions only when two people edit the SAME layout, not the whole dataset;</w:t>
      </w:r>
    </w:p>
    <w:p>
      <w:pPr>
        <w:pStyle w:val="ListBullet"/>
        <w:spacing w:after="40"/>
      </w:pPr>
      <w:r>
        <w:t>optimistic concurrency: a stale save is rejected (HTTP 412) so the app re-loads and warns instead of overwriting;</w:t>
      </w:r>
    </w:p>
    <w:p>
      <w:pPr>
        <w:pStyle w:val="ListBullet"/>
        <w:spacing w:after="40"/>
      </w:pPr>
      <w:r>
        <w:t>per-item version history: who changed what, and when, built in. This mirrors the ECN/PCN change-control habit for free.</w:t>
      </w:r>
    </w:p>
    <w:p>
      <w:pPr>
        <w:spacing w:after="40"/>
      </w:pPr>
      <w:r>
        <w:rPr>
          <w:b w:val="0"/>
          <w:sz w:val="21"/>
        </w:rPr>
        <w:t>Two things to know up front, both confirmed:</w:t>
      </w:r>
    </w:p>
    <w:p>
      <w:pPr>
        <w:pStyle w:val="ListBullet"/>
        <w:spacing w:after="40"/>
      </w:pPr>
      <w:r>
        <w:rPr>
          <w:b/>
        </w:rPr>
        <w:t>Hosting:</w:t>
      </w:r>
      <w:r>
        <w:t xml:space="preserve"> The app is served from a static web address, not from the OneDrive folder. SharePoint serves a raw .html file as a download, and a double-clicked local file cannot sign in. Host the page on an internal web server, Azure Static Web Apps, or package it into SharePoint (SPFx). This is static hosting, not an application server to babysit. The data lives in M365; the app file is served from a URL.</w:t>
      </w:r>
    </w:p>
    <w:p>
      <w:pPr>
        <w:pStyle w:val="ListBullet"/>
        <w:spacing w:after="40"/>
      </w:pPr>
      <w:r>
        <w:rPr>
          <w:b/>
        </w:rPr>
        <w:t>Admin consent:</w:t>
      </w:r>
      <w:r>
        <w:t xml:space="preserve"> To reach a shared location (not a user’s own OneDrive), an M365 admin grants a one-time tenant consent for the Graph permission (Sites.ReadWrite.All), plus a one-time Entra "SPA" app registration. About 15 minutes, once. After that, users just sign in.</w:t>
      </w:r>
    </w:p>
    <w:p>
      <w:pPr>
        <w:spacing w:after="80"/>
      </w:pPr>
      <w:r>
        <w:rPr>
          <w:b w:val="0"/>
          <w:sz w:val="21"/>
        </w:rPr>
        <w:t>The code is already shaped for this swap: every read and write funnels through four functions (saveLayout, loadLayout, readLayouts, writeLayouts). Replacing localStorage with MSAL sign-in plus Graph calls is roughly one to two days of development.</w:t>
      </w:r>
    </w:p>
    <w:p>
      <w:pPr>
        <w:spacing w:after="80"/>
      </w:pPr>
      <w:r>
        <w:rPr>
          <w:b/>
          <w:sz w:val="21"/>
        </w:rPr>
        <w:t>Interim bridge (this week, zero IT effort): declare one copy on the SharePoint/Teams site the only official copy. One owner makes changes, uses "Save into app," and republishes there. Everyone opens from that link, never a local copy. Manual, but it stops the forking today.</w:t>
      </w:r>
    </w:p>
    <w:p>
      <w:pPr>
        <w:spacing w:after="120"/>
      </w:pPr>
      <w:r>
        <w:rPr>
          <w:b w:val="0"/>
          <w:sz w:val="21"/>
        </w:rPr>
        <w:t>Ownership note: put it on a SharePoint/Teams site, not a person’s personal OneDrive. Everyone still perceives it as "our OneDrive," but it does not orphan if that person leaves.</w:t>
      </w:r>
    </w:p>
    <w:p>
      <w:pPr>
        <w:spacing w:before="200" w:after="60"/>
      </w:pPr>
      <w:r>
        <w:rPr>
          <w:b/>
          <w:color w:val="1D3A66"/>
          <w:sz w:val="28"/>
        </w:rPr>
        <w:t>4 · Change control for the data</w:t>
      </w:r>
    </w:p>
    <w:p>
      <w:pPr>
        <w:pStyle w:val="ListBullet"/>
        <w:spacing w:after="40"/>
      </w:pPr>
      <w:r>
        <w:rPr>
          <w:b/>
        </w:rPr>
        <w:t>Sandbox vs Official</w:t>
      </w:r>
      <w:r>
        <w:t>: anyone experiments under their own name; only the named data owner publishes Official layouts/times.</w:t>
      </w:r>
    </w:p>
    <w:p>
      <w:pPr>
        <w:pStyle w:val="ListBullet"/>
        <w:spacing w:after="40"/>
      </w:pPr>
      <w:r>
        <w:rPr>
          <w:b/>
        </w:rPr>
        <w:t>Times change with evidence</w:t>
      </w:r>
      <w:r>
        <w:t>: official step times change only when a new or revised SWI backs them; the measured-vs-estimated register updates in the same change.</w:t>
      </w:r>
    </w:p>
    <w:p>
      <w:pPr>
        <w:pStyle w:val="ListBullet"/>
        <w:spacing w:after="40"/>
      </w:pPr>
      <w:r>
        <w:rPr>
          <w:b/>
        </w:rPr>
        <w:t>Change log</w:t>
      </w:r>
      <w:r>
        <w:t>: the SharePoint List version history records who changed what, and when, for every save.</w:t>
      </w:r>
    </w:p>
    <w:p>
      <w:pPr>
        <w:spacing w:before="200" w:after="60"/>
      </w:pPr>
      <w:r>
        <w:rPr>
          <w:b/>
          <w:color w:val="1D3A66"/>
          <w:sz w:val="28"/>
        </w:rPr>
        <w:t>5 · Handoff steps</w:t>
      </w:r>
    </w:p>
    <w:tbl>
      <w:tblPr>
        <w:tblStyle w:val="LightGrid-Accent1"/>
        <w:tblW w:type="auto" w:w="0"/>
        <w:tblLook w:firstColumn="1" w:firstRow="1" w:lastColumn="0" w:lastRow="0" w:noHBand="0" w:noVBand="1" w:val="04A0"/>
      </w:tblPr>
      <w:tblGrid>
        <w:gridCol w:w="2484"/>
        <w:gridCol w:w="2484"/>
        <w:gridCol w:w="2484"/>
        <w:gridCol w:w="2484"/>
      </w:tblGrid>
      <w:tr>
        <w:tc>
          <w:tcPr>
            <w:tcW w:type="dxa" w:w="432"/>
          </w:tcPr>
          <w:p>
            <w:r>
              <w:rPr>
                <w:b/>
              </w:rPr>
              <w:t>#</w:t>
            </w:r>
          </w:p>
        </w:tc>
        <w:tc>
          <w:tcPr>
            <w:tcW w:type="dxa" w:w="6336"/>
          </w:tcPr>
          <w:p>
            <w:r>
              <w:rPr>
                <w:b/>
              </w:rPr>
              <w:t>Step</w:t>
            </w:r>
          </w:p>
        </w:tc>
        <w:tc>
          <w:tcPr>
            <w:tcW w:type="dxa" w:w="1440"/>
          </w:tcPr>
          <w:p>
            <w:r>
              <w:rPr>
                <w:b/>
              </w:rPr>
              <w:t>Who</w:t>
            </w:r>
          </w:p>
        </w:tc>
        <w:tc>
          <w:tcPr>
            <w:tcW w:type="dxa" w:w="1440"/>
          </w:tcPr>
          <w:p>
            <w:r>
              <w:rPr>
                <w:b/>
              </w:rPr>
              <w:t>Effort</w:t>
            </w:r>
          </w:p>
        </w:tc>
      </w:tr>
      <w:tr>
        <w:tc>
          <w:tcPr>
            <w:tcW w:type="dxa" w:w="432"/>
          </w:tcPr>
          <w:p>
            <w:r>
              <w:t>1</w:t>
            </w:r>
          </w:p>
        </w:tc>
        <w:tc>
          <w:tcPr>
            <w:tcW w:type="dxa" w:w="6336"/>
          </w:tcPr>
          <w:p>
            <w:r>
              <w:t>IT setup: create the SharePoint/Teams site and a "Layouts" List; register an Entra "SPA" app; admin-consent the Graph scope (Sites.ReadWrite.All)</w:t>
            </w:r>
          </w:p>
        </w:tc>
        <w:tc>
          <w:tcPr>
            <w:tcW w:type="dxa" w:w="1440"/>
          </w:tcPr>
          <w:p>
            <w:r>
              <w:t>CI + IT</w:t>
            </w:r>
          </w:p>
        </w:tc>
        <w:tc>
          <w:tcPr>
            <w:tcW w:type="dxa" w:w="1440"/>
          </w:tcPr>
          <w:p>
            <w:r>
              <w:t>~1/2 day</w:t>
            </w:r>
          </w:p>
        </w:tc>
      </w:tr>
      <w:tr>
        <w:tc>
          <w:tcPr>
            <w:tcW w:type="dxa" w:w="432"/>
          </w:tcPr>
          <w:p>
            <w:r>
              <w:t>2</w:t>
            </w:r>
          </w:p>
        </w:tc>
        <w:tc>
          <w:tcPr>
            <w:tcW w:type="dxa" w:w="6336"/>
          </w:tcPr>
          <w:p>
            <w:r>
              <w:t>Start the interim bridge now: publish the official copy to the site; announce "open from here only"</w:t>
            </w:r>
          </w:p>
        </w:tc>
        <w:tc>
          <w:tcPr>
            <w:tcW w:type="dxa" w:w="1440"/>
          </w:tcPr>
          <w:p>
            <w:r>
              <w:t>CI</w:t>
            </w:r>
          </w:p>
        </w:tc>
        <w:tc>
          <w:tcPr>
            <w:tcW w:type="dxa" w:w="1440"/>
          </w:tcPr>
          <w:p>
            <w:r>
              <w:t>1 hr</w:t>
            </w:r>
          </w:p>
        </w:tc>
      </w:tr>
      <w:tr>
        <w:tc>
          <w:tcPr>
            <w:tcW w:type="dxa" w:w="432"/>
          </w:tcPr>
          <w:p>
            <w:r>
              <w:t>3</w:t>
            </w:r>
          </w:p>
        </w:tc>
        <w:tc>
          <w:tcPr>
            <w:tcW w:type="dxa" w:w="6336"/>
          </w:tcPr>
          <w:p>
            <w:r>
              <w:t>Transfer code into TUUCI GitHub org / IT-controlled repo with build README</w:t>
            </w:r>
          </w:p>
        </w:tc>
        <w:tc>
          <w:tcPr>
            <w:tcW w:type="dxa" w:w="1440"/>
          </w:tcPr>
          <w:p>
            <w:r>
              <w:t>CI + IT</w:t>
            </w:r>
          </w:p>
        </w:tc>
        <w:tc>
          <w:tcPr>
            <w:tcW w:type="dxa" w:w="1440"/>
          </w:tcPr>
          <w:p>
            <w:r>
              <w:t>1/2 day</w:t>
            </w:r>
          </w:p>
        </w:tc>
      </w:tr>
      <w:tr>
        <w:tc>
          <w:tcPr>
            <w:tcW w:type="dxa" w:w="432"/>
          </w:tcPr>
          <w:p>
            <w:r>
              <w:t>4</w:t>
            </w:r>
          </w:p>
        </w:tc>
        <w:tc>
          <w:tcPr>
            <w:tcW w:type="dxa" w:w="6336"/>
          </w:tcPr>
          <w:p>
            <w:r>
              <w:t>Implement storage: MSAL sign-in + Graph read/write against the Layouts List (ETag concurrency); swap the four storage functions; host the page on an internal HTTPS URL</w:t>
            </w:r>
          </w:p>
        </w:tc>
        <w:tc>
          <w:tcPr>
            <w:tcW w:type="dxa" w:w="1440"/>
          </w:tcPr>
          <w:p>
            <w:r>
              <w:t>Dev</w:t>
            </w:r>
          </w:p>
        </w:tc>
        <w:tc>
          <w:tcPr>
            <w:tcW w:type="dxa" w:w="1440"/>
          </w:tcPr>
          <w:p>
            <w:r>
              <w:t>1-2 days</w:t>
            </w:r>
          </w:p>
        </w:tc>
      </w:tr>
      <w:tr>
        <w:tc>
          <w:tcPr>
            <w:tcW w:type="dxa" w:w="432"/>
          </w:tcPr>
          <w:p>
            <w:r>
              <w:t>5</w:t>
            </w:r>
          </w:p>
        </w:tc>
        <w:tc>
          <w:tcPr>
            <w:tcW w:type="dxa" w:w="6336"/>
          </w:tcPr>
          <w:p>
            <w:r>
              <w:t>Pilot with 2-3 mezzanine users; verify saves propagate and nothing is lost</w:t>
            </w:r>
          </w:p>
        </w:tc>
        <w:tc>
          <w:tcPr>
            <w:tcW w:type="dxa" w:w="1440"/>
          </w:tcPr>
          <w:p>
            <w:r>
              <w:t>CI</w:t>
            </w:r>
          </w:p>
        </w:tc>
        <w:tc>
          <w:tcPr>
            <w:tcW w:type="dxa" w:w="1440"/>
          </w:tcPr>
          <w:p>
            <w:r>
              <w:t>1 week parallel</w:t>
            </w:r>
          </w:p>
        </w:tc>
      </w:tr>
      <w:tr>
        <w:tc>
          <w:tcPr>
            <w:tcW w:type="dxa" w:w="432"/>
          </w:tcPr>
          <w:p>
            <w:r>
              <w:t>6</w:t>
            </w:r>
          </w:p>
        </w:tc>
        <w:tc>
          <w:tcPr>
            <w:tcW w:type="dxa" w:w="6336"/>
          </w:tcPr>
          <w:p>
            <w:r>
              <w:t>Name owners: technical owner (builds/deploys/hosts) and data owner (publishes Official)</w:t>
            </w:r>
          </w:p>
        </w:tc>
        <w:tc>
          <w:tcPr>
            <w:tcW w:type="dxa" w:w="1440"/>
          </w:tcPr>
          <w:p>
            <w:r>
              <w:t>Mgmt</w:t>
            </w:r>
          </w:p>
        </w:tc>
        <w:tc>
          <w:tcPr>
            <w:tcW w:type="dxa" w:w="1440"/>
          </w:tcPr>
          <w:p>
            <w:r>
              <w:t>.</w:t>
            </w:r>
          </w:p>
        </w:tc>
      </w:tr>
      <w:tr>
        <w:tc>
          <w:tcPr>
            <w:tcW w:type="dxa" w:w="432"/>
          </w:tcPr>
          <w:p>
            <w:r>
              <w:t>7</w:t>
            </w:r>
          </w:p>
        </w:tc>
        <w:tc>
          <w:tcPr>
            <w:tcW w:type="dxa" w:w="6336"/>
          </w:tcPr>
          <w:p>
            <w:r>
              <w:t>Training: 1-hour session plus a one-page cheat sheet</w:t>
            </w:r>
          </w:p>
        </w:tc>
        <w:tc>
          <w:tcPr>
            <w:tcW w:type="dxa" w:w="1440"/>
          </w:tcPr>
          <w:p>
            <w:r>
              <w:t>CI</w:t>
            </w:r>
          </w:p>
        </w:tc>
        <w:tc>
          <w:tcPr>
            <w:tcW w:type="dxa" w:w="1440"/>
          </w:tcPr>
          <w:p>
            <w:r>
              <w:t>1/2 day prep</w:t>
            </w:r>
          </w:p>
        </w:tc>
      </w:tr>
      <w:tr>
        <w:tc>
          <w:tcPr>
            <w:tcW w:type="dxa" w:w="432"/>
          </w:tcPr>
          <w:p>
            <w:r>
              <w:t>8</w:t>
            </w:r>
          </w:p>
        </w:tc>
        <w:tc>
          <w:tcPr>
            <w:tcW w:type="dxa" w:w="6336"/>
          </w:tcPr>
          <w:p>
            <w:r>
              <w:t>Support path plus keep the assumptions register current</w:t>
            </w:r>
          </w:p>
        </w:tc>
        <w:tc>
          <w:tcPr>
            <w:tcW w:type="dxa" w:w="1440"/>
          </w:tcPr>
          <w:p>
            <w:r>
              <w:t>Data owner</w:t>
            </w:r>
          </w:p>
        </w:tc>
        <w:tc>
          <w:tcPr>
            <w:tcW w:type="dxa" w:w="1440"/>
          </w:tcPr>
          <w:p>
            <w:r>
              <w:t>ongoing</w:t>
            </w:r>
          </w:p>
        </w:tc>
      </w:tr>
    </w:tbl>
    <w:p>
      <w:pPr>
        <w:spacing w:before="200" w:after="60"/>
      </w:pPr>
      <w:r>
        <w:rPr>
          <w:b/>
          <w:color w:val="1D3A66"/>
          <w:sz w:val="28"/>
        </w:rPr>
        <w:t>6 · Open decisions for TUUCI</w:t>
      </w:r>
    </w:p>
    <w:p>
      <w:pPr>
        <w:pStyle w:val="ListBullet"/>
        <w:spacing w:after="40"/>
      </w:pPr>
      <w:r>
        <w:t>Where to host the app page: internal web server vs Azure Static Web Apps vs SharePoint (SPFx).</w:t>
      </w:r>
    </w:p>
    <w:p>
      <w:pPr>
        <w:pStyle w:val="ListBullet"/>
        <w:spacing w:after="40"/>
      </w:pPr>
      <w:r>
        <w:t>Who does the one-time Entra app registration and admin consent.</w:t>
      </w:r>
    </w:p>
    <w:p>
      <w:pPr>
        <w:pStyle w:val="ListBullet"/>
        <w:spacing w:after="40"/>
      </w:pPr>
      <w:r>
        <w:t>Backup/retention of the Layouts List (SharePoint version history plus recycle bin, or an extra export).</w:t>
      </w:r>
    </w:p>
    <w:p>
      <w:pPr>
        <w:pStyle w:val="ListBullet"/>
        <w:spacing w:after="40"/>
      </w:pPr>
      <w:r>
        <w:t>Named technical owner and data owner.</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