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D3A66"/>
          <w:sz w:val="36"/>
        </w:rPr>
        <w:t>ENGINEERING CHANGE NOTICE</w:t>
      </w:r>
      <w:r>
        <w:rPr>
          <w:b/>
          <w:color w:val="C0552C"/>
          <w:sz w:val="22"/>
        </w:rPr>
        <w:t xml:space="preserve">   DRAFT — FOR REVIEW</w:t>
      </w:r>
    </w:p>
    <w:p>
      <w:pPr>
        <w:spacing w:after="120"/>
      </w:pPr>
      <w:r>
        <w:rPr>
          <w:i w:val="0"/>
          <w:color w:val="5A6672"/>
          <w:sz w:val="18"/>
        </w:rPr>
        <w:t>TUUCI — Meritage product family · Prepared from the Meritage 3-Seater Engineering Improvement Plan (06/18/2026)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84"/>
        <w:gridCol w:w="2556"/>
        <w:gridCol w:w="1728"/>
        <w:gridCol w:w="2556"/>
      </w:tblGrid>
      <w:tr>
        <w:tc>
          <w:tcPr>
            <w:tcW w:type="dxa" w:w="2556"/>
            <w:shd w:val="clear" w:fill="EEF2F7"/>
          </w:tcPr>
          <w:p>
            <w:r/>
            <w:r>
              <w:rPr>
                <w:b/>
                <w:i w:val="0"/>
                <w:color w:val="5A6672"/>
                <w:sz w:val="17"/>
              </w:rPr>
              <w:t>ECN No.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i w:val="0"/>
              </w:rPr>
              <w:t>ECN-2026-____ (assigned on release)</w:t>
            </w:r>
          </w:p>
        </w:tc>
        <w:tc>
          <w:tcPr>
            <w:tcW w:type="dxa" w:w="2556"/>
            <w:shd w:val="clear" w:fill="EEF2F7"/>
          </w:tcPr>
          <w:p>
            <w:r/>
            <w:r>
              <w:rPr>
                <w:b/>
                <w:i w:val="0"/>
                <w:color w:val="5A6672"/>
                <w:sz w:val="17"/>
              </w:rPr>
              <w:t>Date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i w:val="0"/>
              </w:rPr>
              <w:t>07/13/2026</w:t>
            </w:r>
          </w:p>
        </w:tc>
      </w:tr>
      <w:tr>
        <w:tc>
          <w:tcPr>
            <w:tcW w:type="dxa" w:w="2556"/>
            <w:shd w:val="clear" w:fill="EEF2F7"/>
          </w:tcPr>
          <w:p>
            <w:r/>
            <w:r>
              <w:rPr>
                <w:b/>
                <w:i w:val="0"/>
                <w:color w:val="5A6672"/>
                <w:sz w:val="17"/>
              </w:rPr>
              <w:t>Originator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i w:val="0"/>
              </w:rPr>
              <w:t>Douglas O'Keefe — Continuous Improvement</w:t>
            </w:r>
          </w:p>
        </w:tc>
        <w:tc>
          <w:tcPr>
            <w:tcW w:type="dxa" w:w="2556"/>
            <w:shd w:val="clear" w:fill="EEF2F7"/>
          </w:tcPr>
          <w:p>
            <w:r/>
            <w:r>
              <w:rPr>
                <w:b/>
                <w:i w:val="0"/>
                <w:color w:val="5A6672"/>
                <w:sz w:val="17"/>
              </w:rPr>
              <w:t>Change class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i w:val="0"/>
              </w:rPr>
              <w:t>Major — BOM, drawings, supplier process</w:t>
            </w:r>
          </w:p>
        </w:tc>
      </w:tr>
      <w:tr>
        <w:tc>
          <w:tcPr>
            <w:tcW w:type="dxa" w:w="2556"/>
            <w:shd w:val="clear" w:fill="EEF2F7"/>
          </w:tcPr>
          <w:p>
            <w:r/>
            <w:r>
              <w:rPr>
                <w:b/>
                <w:i w:val="0"/>
                <w:color w:val="5A6672"/>
                <w:sz w:val="17"/>
              </w:rPr>
              <w:t>Product(s)</w:t>
            </w:r>
          </w:p>
        </w:tc>
        <w:tc>
          <w:tcPr>
            <w:tcW w:type="dxa" w:w="7668"/>
            <w:gridSpan w:val="3"/>
          </w:tcPr>
          <w:p>
            <w:r/>
            <w:r>
              <w:rPr>
                <w:b w:val="0"/>
                <w:i w:val="0"/>
              </w:rPr>
              <w:t>Meritage 3-Seater Sofa (primary). Connector system is shared across Meritage lines — all Meritage SKUs using flat horizontal connectors are affected.</w:t>
            </w:r>
          </w:p>
        </w:tc>
      </w:tr>
      <w:tr>
        <w:tc>
          <w:tcPr>
            <w:tcW w:type="dxa" w:w="2556"/>
            <w:shd w:val="clear" w:fill="EEF2F7"/>
          </w:tcPr>
          <w:p>
            <w:r/>
            <w:r>
              <w:rPr>
                <w:b/>
                <w:i w:val="0"/>
                <w:color w:val="5A6672"/>
                <w:sz w:val="17"/>
              </w:rPr>
              <w:t>Priority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i w:val="0"/>
              </w:rPr>
              <w:t>High — recovers ~24 min labor/unit; two items relieve the seat-frame bottleneck</w:t>
            </w:r>
          </w:p>
        </w:tc>
        <w:tc>
          <w:tcPr>
            <w:tcW w:type="dxa" w:w="2556"/>
            <w:shd w:val="clear" w:fill="EEF2F7"/>
          </w:tcPr>
          <w:p>
            <w:r/>
            <w:r>
              <w:rPr>
                <w:b/>
                <w:i w:val="0"/>
                <w:color w:val="5A6672"/>
                <w:sz w:val="17"/>
              </w:rPr>
              <w:t>Requested effectivity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i w:val="0"/>
              </w:rPr>
              <w:t>First supplier PO after approval (date: ____)</w:t>
            </w:r>
          </w:p>
        </w:tc>
      </w:tr>
    </w:tbl>
    <w:p>
      <w:pPr>
        <w:spacing w:before="280" w:after="80"/>
        <w:pBdr>
          <w:bottom w:val="single" w:sz="12" w:color="1D3A66"/>
        </w:pBdr>
      </w:pPr>
      <w:r>
        <w:rPr>
          <w:b/>
          <w:color w:val="1D3A66"/>
          <w:sz w:val="24"/>
        </w:rPr>
        <w:t>1  REASON FOR CHANGE</w:t>
      </w:r>
    </w:p>
    <w:p>
      <w:pPr>
        <w:spacing w:after="120"/>
      </w:pPr>
      <w:r>
        <w:rPr>
          <w:i w:val="0"/>
        </w:rPr>
        <w:t>Meritage flat connectors arrive from the Vietnam supplier as one generic configuration and are hand-reworked on the line before use (screw swaps, orientation flips, hole drilling), and the high-volume leg piece is assembled in-house. This adds ~24 minutes of non-value-added labor per unit, part of it directly on the seat-frame bottleneck, so every minute recovered there raises line throughput — not just labor. Root cause is a BOM/documentation gap: three real connector configurations exist but the BOM lists only two, and the connector CAD drawings carry an incorrect part number, so the supplier cannot ship parts pre-configured.</w:t>
      </w:r>
    </w:p>
    <w:p>
      <w:pPr>
        <w:spacing w:before="280" w:after="80"/>
        <w:pBdr>
          <w:bottom w:val="single" w:sz="12" w:color="1D3A66"/>
        </w:pBdr>
      </w:pPr>
      <w:r>
        <w:rPr>
          <w:b/>
          <w:color w:val="1D3A66"/>
          <w:sz w:val="24"/>
        </w:rPr>
        <w:t>2  CURRENT CONDITION → REQUESTED CHANGE</w:t>
      </w:r>
    </w:p>
    <w:p>
      <w:pPr>
        <w:spacing w:before="200" w:after="40"/>
      </w:pPr>
      <w:r>
        <w:rPr>
          <w:b/>
          <w:sz w:val="22"/>
        </w:rPr>
        <w:t>Item A — Correct the connector BOM (3 configurations, unique part numbers) — prerequisite for B–D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112"/>
            <w:shd w:val="clear" w:fill="EEF2F7"/>
          </w:tcPr>
          <w:p>
            <w:r/>
            <w:r>
              <w:rPr>
                <w:b/>
                <w:i w:val="0"/>
                <w:color w:val="5A6672"/>
                <w:sz w:val="17"/>
              </w:rPr>
              <w:t>Current condition</w:t>
            </w:r>
          </w:p>
        </w:tc>
        <w:tc>
          <w:tcPr>
            <w:tcW w:type="dxa" w:w="5112"/>
            <w:shd w:val="clear" w:fill="EEF2F7"/>
          </w:tcPr>
          <w:p>
            <w:r/>
            <w:r>
              <w:rPr>
                <w:b/>
                <w:i w:val="0"/>
                <w:color w:val="5A6672"/>
                <w:sz w:val="17"/>
              </w:rPr>
              <w:t>Requested change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i w:val="0"/>
              </w:rPr>
              <w:t>BOM lists 2 connector types; all arrive as one generic design. Connector CAD drawings show P/N 1012553, which matches neither the BOM nor the floor. Two configurations share a part number.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i w:val="0"/>
              </w:rPr>
              <w:t>BOM and connector CAD drawings list 3 unique configurations with their own P/Ns:</w:t>
              <w:br/>
              <w:t>• Front (same both sides): 1015301 — qty 2</w:t>
              <w:br/>
              <w:t>• Back-left: 1015302 — qty 1</w:t>
              <w:br/>
              <w:t>• Back-right: 1016592 — qty 1</w:t>
              <w:br/>
              <w:t>Update connector drawings to the correct P/Ns and configurations (left/right defined).</w:t>
            </w:r>
          </w:p>
        </w:tc>
      </w:tr>
    </w:tbl>
    <w:p>
      <w:pPr>
        <w:spacing w:after="120"/>
      </w:pPr>
      <w:r>
        <w:rPr>
          <w:i w:val="0"/>
          <w:color w:val="5A6672"/>
          <w:sz w:val="18"/>
        </w:rPr>
        <w:t>Reference: the seat-frame assembly drawing already shows all three P/Ns correctly (1015301 ×2 front, 1015302 + 1016592 back); drawing TU-530 Rev A likewise BOMs the three connector assemblies separately (Config 1/2/3). Only the BOM and the connector-level drawings lag.</w:t>
      </w:r>
    </w:p>
    <w:p>
      <w:pPr>
        <w:spacing w:before="200" w:after="40"/>
      </w:pPr>
      <w:r>
        <w:rPr>
          <w:b/>
          <w:sz w:val="22"/>
        </w:rPr>
        <w:t>Item B — Eliminate screw swaps &amp; reorientation (ship pre-configured)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112"/>
            <w:shd w:val="clear" w:fill="EEF2F7"/>
          </w:tcPr>
          <w:p>
            <w:r/>
            <w:r>
              <w:rPr>
                <w:b/>
                <w:i w:val="0"/>
                <w:color w:val="5A6672"/>
                <w:sz w:val="17"/>
              </w:rPr>
              <w:t>Current condition</w:t>
            </w:r>
          </w:p>
        </w:tc>
        <w:tc>
          <w:tcPr>
            <w:tcW w:type="dxa" w:w="5112"/>
            <w:shd w:val="clear" w:fill="EEF2F7"/>
          </w:tcPr>
          <w:p>
            <w:r/>
            <w:r>
              <w:rPr>
                <w:b/>
                <w:i w:val="0"/>
                <w:color w:val="5A6672"/>
                <w:sz w:val="17"/>
              </w:rPr>
              <w:t>Requested change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i w:val="0"/>
              </w:rPr>
              <w:t>Type 1 (front) arrives with screw 40200; operator removes it and installs 1012919 on every connector. Type 2 (back) arrives with 1012934; operator swaps to 40204. Half of Type 2 also need the screw-entry side flipped by hand. Rework ≈ 11 min 40 s per unit, zero value added.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i w:val="0"/>
              </w:rPr>
              <w:t>Each configuration ships from the supplier already fitted with the correct screw and orientation:</w:t>
              <w:br/>
              <w:t>• 1015301 with 1012919</w:t>
              <w:br/>
              <w:t>• 1015302 / 1016592 with 40204, left/right orientation per drawing</w:t>
              <w:br/>
              <w:t>Screw specs to be validated by Engineering before release (see §6).</w:t>
            </w:r>
          </w:p>
        </w:tc>
      </w:tr>
    </w:tbl>
    <w:p>
      <w:pPr>
        <w:spacing w:before="200" w:after="40"/>
      </w:pPr>
      <w:r>
        <w:rPr>
          <w:b/>
          <w:sz w:val="22"/>
        </w:rPr>
        <w:t>Item C — Pre-drill connector holes for leg insertion (bottleneck relief)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112"/>
            <w:shd w:val="clear" w:fill="EEF2F7"/>
          </w:tcPr>
          <w:p>
            <w:r/>
            <w:r>
              <w:rPr>
                <w:b/>
                <w:i w:val="0"/>
                <w:color w:val="5A6672"/>
                <w:sz w:val="17"/>
              </w:rPr>
              <w:t>Current condition</w:t>
            </w:r>
          </w:p>
        </w:tc>
        <w:tc>
          <w:tcPr>
            <w:tcW w:type="dxa" w:w="5112"/>
            <w:shd w:val="clear" w:fill="EEF2F7"/>
          </w:tcPr>
          <w:p>
            <w:r/>
            <w:r>
              <w:rPr>
                <w:b/>
                <w:i w:val="0"/>
                <w:color w:val="5A6672"/>
                <w:sz w:val="17"/>
              </w:rPr>
              <w:t>Requested change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i w:val="0"/>
              </w:rPr>
              <w:t>Operators manually drill 4 holes into the flat connectors for leg-piece insertion during seat-frame assembly — the line's top bottleneck. ≥ 5 min per frame.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i w:val="0"/>
              </w:rPr>
              <w:t>Connectors arrive with leg-insertion holes pre-drilled per drawing (hole size/position to be added to the updated connector drawings in Item A).</w:t>
            </w:r>
          </w:p>
        </w:tc>
      </w:tr>
    </w:tbl>
    <w:p>
      <w:pPr>
        <w:spacing w:before="200" w:after="40"/>
      </w:pPr>
      <w:r>
        <w:rPr>
          <w:b/>
          <w:sz w:val="22"/>
        </w:rPr>
        <w:t>Item D — Receive the high-volume leg piece pre-assembled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112"/>
            <w:shd w:val="clear" w:fill="EEF2F7"/>
          </w:tcPr>
          <w:p>
            <w:r/>
            <w:r>
              <w:rPr>
                <w:b/>
                <w:i w:val="0"/>
                <w:color w:val="5A6672"/>
                <w:sz w:val="17"/>
              </w:rPr>
              <w:t>Current condition</w:t>
            </w:r>
          </w:p>
        </w:tc>
        <w:tc>
          <w:tcPr>
            <w:tcW w:type="dxa" w:w="5112"/>
            <w:shd w:val="clear" w:fill="EEF2F7"/>
          </w:tcPr>
          <w:p>
            <w:r/>
            <w:r>
              <w:rPr>
                <w:b/>
                <w:i w:val="0"/>
                <w:color w:val="5A6672"/>
                <w:sz w:val="17"/>
              </w:rPr>
              <w:t>Requested change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i w:val="0"/>
              </w:rPr>
              <w:t>Connector operator assembles the leg piece in-house, ~8 min per unit. Two variants exist; the basic (non-wheeled) variant is ~90% of volume.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i w:val="0"/>
              </w:rPr>
              <w:t>The basic leg piece arrives pre-assembled from the supplier under its own P/N (assign: ____). The wheeled variant (~10%) remains assembled in-house. Gate: supplier finish must meet TUUCI paint spec (see §6).</w:t>
            </w:r>
          </w:p>
        </w:tc>
      </w:tr>
    </w:tbl>
    <w:p>
      <w:pPr>
        <w:spacing w:before="280" w:after="80"/>
        <w:pBdr>
          <w:bottom w:val="single" w:sz="12" w:color="1D3A66"/>
        </w:pBdr>
      </w:pPr>
      <w:r>
        <w:rPr>
          <w:b/>
          <w:color w:val="1D3A66"/>
          <w:sz w:val="24"/>
        </w:rPr>
        <w:t>3  AFFECTED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44"/>
        <w:gridCol w:w="1440"/>
        <w:gridCol w:w="4896"/>
      </w:tblGrid>
      <w:tr>
        <w:tc>
          <w:tcPr>
            <w:tcW w:type="dxa" w:w="3408"/>
            <w:shd w:val="clear" w:fill="EEF2F7"/>
          </w:tcPr>
          <w:p>
            <w:r/>
            <w:r>
              <w:rPr>
                <w:b/>
                <w:i w:val="0"/>
                <w:color w:val="5A6672"/>
                <w:sz w:val="17"/>
              </w:rPr>
              <w:t>Item</w:t>
            </w:r>
          </w:p>
        </w:tc>
        <w:tc>
          <w:tcPr>
            <w:tcW w:type="dxa" w:w="3408"/>
            <w:shd w:val="clear" w:fill="EEF2F7"/>
          </w:tcPr>
          <w:p>
            <w:r/>
            <w:r>
              <w:rPr>
                <w:b/>
                <w:i w:val="0"/>
                <w:color w:val="5A6672"/>
                <w:sz w:val="17"/>
              </w:rPr>
              <w:t>Type</w:t>
            </w:r>
          </w:p>
        </w:tc>
        <w:tc>
          <w:tcPr>
            <w:tcW w:type="dxa" w:w="3408"/>
            <w:shd w:val="clear" w:fill="EEF2F7"/>
          </w:tcPr>
          <w:p>
            <w:r/>
            <w:r>
              <w:rPr>
                <w:b/>
                <w:i w:val="0"/>
                <w:color w:val="5A6672"/>
                <w:sz w:val="17"/>
              </w:rPr>
              <w:t>Change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i w:val="0"/>
              </w:rPr>
              <w:t>Meritage 3-Seater BOM (and shared-connector Meritage BOMs)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i w:val="0"/>
              </w:rPr>
              <w:t>BOM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i w:val="0"/>
              </w:rPr>
              <w:t>2 connector types → 3 unique P/Ns (1015301 / 1015302 / 1016592) with quantities 2/1/1; add pre-assembled leg P/N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i w:val="0"/>
              </w:rPr>
              <w:t>Connector CAD drawing(s) currently P/N 1012553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i w:val="0"/>
              </w:rPr>
              <w:t>Drawing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i w:val="0"/>
              </w:rPr>
              <w:t>Correct P/Ns; define left/right configurations; add fitted-screw callouts; add pre-drilled leg-insertion holes (size, position, qty 4)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i w:val="0"/>
              </w:rPr>
              <w:t>Screws 40200, 1012934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i w:val="0"/>
              </w:rPr>
              <w:t>Component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i w:val="0"/>
              </w:rPr>
              <w:t>Removed from connector configurations (superseded by 1012919 / 40204, pending validation)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i w:val="0"/>
              </w:rPr>
              <w:t>Basic leg piece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i w:val="0"/>
              </w:rPr>
              <w:t>Part / sourcing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i w:val="0"/>
              </w:rPr>
              <w:t>New pre-assembled P/N; supplier assembly + paint-spec qualification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i w:val="0"/>
              </w:rPr>
              <w:t>Supplier POs / work instructions (Vietnam)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i w:val="0"/>
              </w:rPr>
              <w:t>Procurement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i w:val="0"/>
              </w:rPr>
              <w:t>Order by configuration P/N; pre-fit screws; pre-drill holes; leg pre-assembly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i w:val="0"/>
              </w:rPr>
              <w:t>Line SWI — connector prep &amp; seat-frame stations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i w:val="0"/>
              </w:rPr>
              <w:t>Standard work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i w:val="0"/>
              </w:rPr>
              <w:t>Remove screw-swap / reorientation / drilling / leg-assembly steps after cut-in; re-balance line with recovered labor</w:t>
            </w:r>
          </w:p>
        </w:tc>
      </w:tr>
    </w:tbl>
    <w:p>
      <w:pPr>
        <w:spacing w:before="280" w:after="80"/>
        <w:pBdr>
          <w:bottom w:val="single" w:sz="12" w:color="1D3A66"/>
        </w:pBdr>
      </w:pPr>
      <w:r>
        <w:rPr>
          <w:b/>
          <w:color w:val="1D3A66"/>
          <w:sz w:val="24"/>
        </w:rPr>
        <w:t>4  LABOR IMPACT (MEASURED / ESTIMATED)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EF2F7"/>
          </w:tcPr>
          <w:p>
            <w:r/>
            <w:r>
              <w:rPr>
                <w:b/>
                <w:i w:val="0"/>
                <w:color w:val="5A6672"/>
                <w:sz w:val="17"/>
              </w:rPr>
              <w:t>Item</w:t>
            </w:r>
          </w:p>
        </w:tc>
        <w:tc>
          <w:tcPr>
            <w:tcW w:type="dxa" w:w="3408"/>
            <w:shd w:val="clear" w:fill="EEF2F7"/>
          </w:tcPr>
          <w:p>
            <w:r/>
            <w:r>
              <w:rPr>
                <w:b/>
                <w:i w:val="0"/>
                <w:color w:val="5A6672"/>
                <w:sz w:val="17"/>
              </w:rPr>
              <w:t>Recovery per unit</w:t>
            </w:r>
          </w:p>
        </w:tc>
        <w:tc>
          <w:tcPr>
            <w:tcW w:type="dxa" w:w="3408"/>
            <w:shd w:val="clear" w:fill="EEF2F7"/>
          </w:tcPr>
          <w:p>
            <w:r/>
            <w:r>
              <w:rPr>
                <w:b/>
                <w:i w:val="0"/>
                <w:color w:val="5A6672"/>
                <w:sz w:val="17"/>
              </w:rPr>
              <w:t>Where it lands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i w:val="0"/>
              </w:rPr>
              <w:t>B — screw swaps + reorientation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i w:val="0"/>
              </w:rPr>
              <w:t>~11 min 40 s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i w:val="0"/>
              </w:rPr>
              <w:t>Connector operator (redeploy to bottleneck)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i w:val="0"/>
              </w:rPr>
              <w:t>C — pre-drilled holes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i w:val="0"/>
              </w:rPr>
              <w:t>≥ 5 min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i w:val="0"/>
              </w:rPr>
              <w:t>Seat-frame bottleneck — direct throughput gain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i w:val="0"/>
              </w:rPr>
              <w:t>D — pre-assembled leg (90% of units)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i w:val="0"/>
              </w:rPr>
              <w:t>~8 min (≈7.2 blended)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i w:val="0"/>
              </w:rPr>
              <w:t>Connector operator + manufacturing/paint upstream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  <w:i w:val="0"/>
              </w:rPr>
              <w:t>Total</w:t>
            </w:r>
          </w:p>
        </w:tc>
        <w:tc>
          <w:tcPr>
            <w:tcW w:type="dxa" w:w="3408"/>
          </w:tcPr>
          <w:p>
            <w:r/>
            <w:r>
              <w:rPr>
                <w:b/>
                <w:i w:val="0"/>
              </w:rPr>
              <w:t>≈ 24 min/unit</w:t>
            </w:r>
          </w:p>
        </w:tc>
        <w:tc>
          <w:tcPr>
            <w:tcW w:type="dxa" w:w="3408"/>
          </w:tcPr>
          <w:p>
            <w:r/>
            <w:r>
              <w:rPr>
                <w:b/>
                <w:i w:val="0"/>
              </w:rPr>
              <w:t>Concentrated on / redeployable to the bottleneck</w:t>
            </w:r>
          </w:p>
        </w:tc>
      </w:tr>
    </w:tbl>
    <w:p>
      <w:pPr>
        <w:spacing w:before="280" w:after="80"/>
        <w:pBdr>
          <w:bottom w:val="single" w:sz="12" w:color="1D3A66"/>
        </w:pBdr>
      </w:pPr>
      <w:r>
        <w:rPr>
          <w:b/>
          <w:color w:val="1D3A66"/>
          <w:sz w:val="24"/>
        </w:rPr>
        <w:t>5  DISPOSITION OF EXISTING MATERIAL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EF2F7"/>
          </w:tcPr>
          <w:p>
            <w:r/>
            <w:r>
              <w:rPr>
                <w:b/>
                <w:i w:val="0"/>
                <w:color w:val="5A6672"/>
                <w:sz w:val="17"/>
              </w:rPr>
              <w:t>Material</w:t>
            </w:r>
          </w:p>
        </w:tc>
        <w:tc>
          <w:tcPr>
            <w:tcW w:type="dxa" w:w="5112"/>
            <w:shd w:val="clear" w:fill="EEF2F7"/>
          </w:tcPr>
          <w:p>
            <w:r/>
            <w:r>
              <w:rPr>
                <w:b/>
                <w:i w:val="0"/>
                <w:color w:val="5A6672"/>
                <w:sz w:val="17"/>
              </w:rPr>
              <w:t>Disposition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i w:val="0"/>
              </w:rPr>
              <w:t>Generic connectors in house / in transit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i w:val="0"/>
              </w:rPr>
              <w:t>Use as is — continue current line rework until pre-configured stock cuts in (no scrap)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i w:val="0"/>
              </w:rPr>
              <w:t>Screw stock 40200 / 1012934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i w:val="0"/>
              </w:rPr>
              <w:t>Use for service/other products if applicable; excess to be dispositioned by Supply Chain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i w:val="0"/>
              </w:rPr>
              <w:t>Leg-piece components in house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i w:val="0"/>
              </w:rPr>
              <w:t>Consume through cut-in of pre-assembled part</w:t>
            </w:r>
          </w:p>
        </w:tc>
      </w:tr>
    </w:tbl>
    <w:p>
      <w:pPr>
        <w:spacing w:before="280" w:after="80"/>
        <w:pBdr>
          <w:bottom w:val="single" w:sz="12" w:color="1D3A66"/>
        </w:pBdr>
      </w:pPr>
      <w:r>
        <w:rPr>
          <w:b/>
          <w:color w:val="1D3A66"/>
          <w:sz w:val="24"/>
        </w:rPr>
        <w:t>6  OPEN ITEMS / RISKS (TO CLOSE BEFORE RELEASE)</w:t>
      </w:r>
    </w:p>
    <w:p>
      <w:pPr>
        <w:pStyle w:val="ListBullet"/>
        <w:spacing w:after="40"/>
      </w:pPr>
      <w:r>
        <w:t>Screw spec validation: 1012919 and 40204 are what operators use today and are confirmed to work — a working baseline, not a validated spec. Engineering to confirm optimal spec before formalizing in the BOM.</w:t>
      </w:r>
    </w:p>
    <w:p>
      <w:pPr>
        <w:pStyle w:val="ListBullet"/>
        <w:spacing w:after="40"/>
      </w:pPr>
      <w:r>
        <w:t>Paint spec (Item D): confirm the supplier can deliver the basic leg piece finished to TUUCI paint spec through the Vietnam supply chain. This is the gate on Item D.</w:t>
      </w:r>
    </w:p>
    <w:p>
      <w:pPr>
        <w:pStyle w:val="ListBullet"/>
        <w:spacing w:after="40"/>
      </w:pPr>
      <w:r>
        <w:t>Hole spec (Item C): engineering to formalize drill size and positions on the updated connector drawings.</w:t>
      </w:r>
    </w:p>
    <w:p>
      <w:pPr>
        <w:pStyle w:val="ListBullet"/>
        <w:spacing w:after="40"/>
      </w:pPr>
      <w:r>
        <w:t>Effectivity plan: define cut-in (PO number / lot) and dual-stock handling during transition.</w:t>
      </w:r>
    </w:p>
    <w:p>
      <w:pPr>
        <w:spacing w:before="280" w:after="80"/>
        <w:pBdr>
          <w:bottom w:val="single" w:sz="12" w:color="1D3A66"/>
        </w:pBdr>
      </w:pPr>
      <w:r>
        <w:rPr>
          <w:b/>
          <w:color w:val="1D3A66"/>
          <w:sz w:val="24"/>
        </w:rPr>
        <w:t>7  IMPLEMENTATION SEQUENCE</w:t>
      </w:r>
    </w:p>
    <w:p>
      <w:pPr>
        <w:pStyle w:val="ListNumber"/>
        <w:spacing w:after="40"/>
      </w:pPr>
      <w:r>
        <w:t>Approve BOM correction (Item A) — enables everything downstream</w:t>
      </w:r>
    </w:p>
    <w:p>
      <w:pPr>
        <w:pStyle w:val="ListNumber"/>
        <w:spacing w:after="40"/>
      </w:pPr>
      <w:r>
        <w:t>Release updated connector drawings (P/Ns, screws, orientation, holes)</w:t>
      </w:r>
    </w:p>
    <w:p>
      <w:pPr>
        <w:pStyle w:val="ListNumber"/>
        <w:spacing w:after="40"/>
      </w:pPr>
      <w:r>
        <w:t>Supplier changeover: pre-configured connectors + pre-drilled holes (Items B/C); qualify leg paint and cut in Item D</w:t>
      </w:r>
    </w:p>
    <w:p>
      <w:pPr>
        <w:pStyle w:val="ListNumber"/>
        <w:spacing w:after="40"/>
      </w:pPr>
      <w:r>
        <w:t>Re-balance the cell to takt with the recovered labor; update SWIs</w:t>
      </w:r>
    </w:p>
    <w:p>
      <w:pPr>
        <w:spacing w:before="280" w:after="80"/>
        <w:pBdr>
          <w:bottom w:val="single" w:sz="12" w:color="1D3A66"/>
        </w:pBdr>
      </w:pPr>
      <w:r>
        <w:rPr>
          <w:b/>
          <w:color w:val="1D3A66"/>
          <w:sz w:val="24"/>
        </w:rPr>
        <w:t>8 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2736"/>
        <w:gridCol w:w="2880"/>
        <w:gridCol w:w="1296"/>
      </w:tblGrid>
      <w:tr>
        <w:tc>
          <w:tcPr>
            <w:tcW w:type="dxa" w:w="2556"/>
            <w:shd w:val="clear" w:fill="EEF2F7"/>
          </w:tcPr>
          <w:p>
            <w:r/>
            <w:r>
              <w:rPr>
                <w:b/>
                <w:i w:val="0"/>
                <w:color w:val="5A6672"/>
                <w:sz w:val="17"/>
              </w:rPr>
              <w:t>Function</w:t>
            </w:r>
          </w:p>
        </w:tc>
        <w:tc>
          <w:tcPr>
            <w:tcW w:type="dxa" w:w="2556"/>
            <w:shd w:val="clear" w:fill="EEF2F7"/>
          </w:tcPr>
          <w:p>
            <w:r/>
            <w:r>
              <w:rPr>
                <w:b/>
                <w:i w:val="0"/>
                <w:color w:val="5A6672"/>
                <w:sz w:val="17"/>
              </w:rPr>
              <w:t>Name</w:t>
            </w:r>
          </w:p>
        </w:tc>
        <w:tc>
          <w:tcPr>
            <w:tcW w:type="dxa" w:w="2556"/>
            <w:shd w:val="clear" w:fill="EEF2F7"/>
          </w:tcPr>
          <w:p>
            <w:r/>
            <w:r>
              <w:rPr>
                <w:b/>
                <w:i w:val="0"/>
                <w:color w:val="5A6672"/>
                <w:sz w:val="17"/>
              </w:rPr>
              <w:t>Signature</w:t>
            </w:r>
          </w:p>
        </w:tc>
        <w:tc>
          <w:tcPr>
            <w:tcW w:type="dxa" w:w="2556"/>
            <w:shd w:val="clear" w:fill="EEF2F7"/>
          </w:tcPr>
          <w:p>
            <w:r/>
            <w:r>
              <w:rPr>
                <w:b/>
                <w:i w:val="0"/>
                <w:color w:val="5A6672"/>
                <w:sz w:val="17"/>
              </w:rPr>
              <w:t>Date</w:t>
            </w:r>
          </w:p>
        </w:tc>
      </w:tr>
      <w:tr>
        <w:trPr>
          <w:trHeight w:val="576"/>
        </w:trPr>
        <w:tc>
          <w:tcPr>
            <w:tcW w:type="dxa" w:w="2556"/>
          </w:tcPr>
          <w:p>
            <w:r/>
            <w:r>
              <w:rPr>
                <w:b w:val="0"/>
                <w:i w:val="0"/>
              </w:rPr>
              <w:t>Originator — Continuous Improvement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i w:val="0"/>
              </w:rPr>
              <w:t>Douglas O'Keefe</w:t>
            </w:r>
          </w:p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</w:tr>
      <w:tr>
        <w:trPr>
          <w:trHeight w:val="576"/>
        </w:trPr>
        <w:tc>
          <w:tcPr>
            <w:tcW w:type="dxa" w:w="2556"/>
          </w:tcPr>
          <w:p>
            <w:r/>
            <w:r>
              <w:rPr>
                <w:b w:val="0"/>
                <w:i w:val="0"/>
              </w:rPr>
              <w:t>Engineering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</w:tr>
      <w:tr>
        <w:trPr>
          <w:trHeight w:val="576"/>
        </w:trPr>
        <w:tc>
          <w:tcPr>
            <w:tcW w:type="dxa" w:w="2556"/>
          </w:tcPr>
          <w:p>
            <w:r/>
            <w:r>
              <w:rPr>
                <w:b w:val="0"/>
                <w:i w:val="0"/>
              </w:rPr>
              <w:t>Supply Chain / Purchasing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</w:tr>
      <w:tr>
        <w:trPr>
          <w:trHeight w:val="576"/>
        </w:trPr>
        <w:tc>
          <w:tcPr>
            <w:tcW w:type="dxa" w:w="2556"/>
          </w:tcPr>
          <w:p>
            <w:r/>
            <w:r>
              <w:rPr>
                <w:b w:val="0"/>
                <w:i w:val="0"/>
              </w:rPr>
              <w:t>Quality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</w:tr>
      <w:tr>
        <w:trPr>
          <w:trHeight w:val="576"/>
        </w:trPr>
        <w:tc>
          <w:tcPr>
            <w:tcW w:type="dxa" w:w="2556"/>
          </w:tcPr>
          <w:p>
            <w:r/>
            <w:r>
              <w:rPr>
                <w:b w:val="0"/>
                <w:i w:val="0"/>
              </w:rPr>
              <w:t>Production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</w:tr>
    </w:tbl>
    <w:p>
      <w:pPr>
        <w:spacing w:after="120"/>
      </w:pPr>
      <w:r>
        <w:rPr>
          <w:i w:val="0"/>
          <w:color w:val="5A6672"/>
          <w:sz w:val="18"/>
        </w:rPr>
        <w:t>References: Meritage 3-Seater Engineering Improvement Plan (O'Keefe, 06/18/2026) · Seat-frame assembly drawing (shows 1015301 ×2 / 1015302 / 1016592) · TU-530 Rev A 'Seat, MER, Ottoman No Arms Subassy' (BOMs Config 1/2/3 connector assemblies separately) · Connector CAD drawings currently marked 1012553.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