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D3A66"/>
          <w:sz w:val="36"/>
        </w:rPr>
        <w:t>3D Mezzanine Model — Handoff Plan to TUUCI</w:t>
      </w:r>
    </w:p>
    <w:p>
      <w:pPr>
        <w:spacing w:after="80"/>
      </w:pPr>
      <w:r>
        <w:rPr>
          <w:b w:val="0"/>
          <w:sz w:val="18"/>
        </w:rPr>
        <w:t>Prepared 07/14/2026 · Douglas O'Keefe, Continuous Improvement · DRAFT for review with Engineering + IT</w:t>
      </w:r>
    </w:p>
    <w:p>
      <w:pPr>
        <w:spacing w:before="200" w:after="60"/>
      </w:pPr>
      <w:r>
        <w:rPr>
          <w:b/>
          <w:color w:val="1D3A66"/>
          <w:sz w:val="28"/>
        </w:rPr>
        <w:t>1 · What TUUCI is receiving</w:t>
      </w:r>
    </w:p>
    <w:p>
      <w:pPr>
        <w:pStyle w:val="ListBullet"/>
        <w:spacing w:after="40"/>
      </w:pPr>
      <w:r>
        <w:rPr>
          <w:b/>
        </w:rPr>
        <w:t>3D Mezzanine Model</w:t>
      </w:r>
      <w:r>
        <w:t xml:space="preserve"> — single-file web app of the whole mezzanine: Meritage, Sola and Canyon Crew lines animated with live takt/cycle/current-pace math, per-product standard work, editable layouts and times. Runs in any browser, no install.</w:t>
      </w:r>
    </w:p>
    <w:p>
      <w:pPr>
        <w:pStyle w:val="ListBullet"/>
        <w:spacing w:after="40"/>
      </w:pPr>
      <w:r>
        <w:rPr>
          <w:b/>
        </w:rPr>
        <w:t>Source code</w:t>
      </w:r>
      <w:r>
        <w:t xml:space="preserve"> — one JavaScript source file + a one-command build.</w:t>
      </w:r>
    </w:p>
    <w:p>
      <w:pPr>
        <w:pStyle w:val="ListBullet"/>
        <w:spacing w:after="40"/>
      </w:pPr>
      <w:r>
        <w:rPr>
          <w:b/>
        </w:rPr>
        <w:t>Data &amp; assumptions register (KNOWLEDGE.md)</w:t>
      </w:r>
      <w:r>
        <w:t xml:space="preserve"> — every measured SWI, which numbers are measured vs estimated, and the model’s assumptions.</w:t>
      </w:r>
    </w:p>
    <w:p>
      <w:pPr>
        <w:pStyle w:val="ListBullet"/>
        <w:spacing w:after="40"/>
      </w:pPr>
      <w:r>
        <w:rPr>
          <w:b/>
        </w:rPr>
        <w:t>Related docs</w:t>
      </w:r>
      <w:r>
        <w:t xml:space="preserve"> — Meritage connector ECN draft, PCN draft, improvement presentation.</w:t>
      </w:r>
    </w:p>
    <w:p>
      <w:pPr>
        <w:spacing w:before="200" w:after="60"/>
      </w:pPr>
      <w:r>
        <w:rPr>
          <w:b/>
          <w:color w:val="1D3A66"/>
          <w:sz w:val="28"/>
        </w:rPr>
        <w:t>2 · The data problem (why storage must change)</w:t>
      </w:r>
    </w:p>
    <w:p>
      <w:pPr>
        <w:spacing w:after="120"/>
      </w:pPr>
      <w:r>
        <w:rPr>
          <w:b w:val="0"/>
          <w:sz w:val="21"/>
        </w:rPr>
        <w:t>Today the app saves to (1) the browser’s localStorage — that computer only; (2) layouts baked into each saved copy of the file — every copy becomes its own fork; (3) manual export/import files. None of these sync between people: if a supervisor rebalances a line or updates times from a new SWI, nobody else sees it. There is no single source of truth. Fine for a one-person tool; not acceptable company-wide.</w:t>
      </w:r>
    </w:p>
    <w:p>
      <w:pPr>
        <w:spacing w:before="200" w:after="60"/>
      </w:pPr>
      <w:r>
        <w:rPr>
          <w:b/>
          <w:color w:val="1D3A66"/>
          <w:sz w:val="28"/>
        </w:rPr>
        <w:t>3 · Where the data should live</w:t>
      </w:r>
    </w:p>
    <w:p>
      <w:pPr>
        <w:spacing w:after="80"/>
      </w:pPr>
      <w:r>
        <w:rPr>
          <w:b/>
          <w:sz w:val="21"/>
        </w:rPr>
        <w:t>Option A — Small internal server (RECOMMENDED)</w:t>
      </w:r>
    </w:p>
    <w:p>
      <w:pPr>
        <w:spacing w:after="80"/>
      </w:pPr>
      <w:r>
        <w:rPr>
          <w:b w:val="0"/>
          <w:sz w:val="21"/>
        </w:rPr>
        <w:t>App served from one company URL; layouts, products and times live server-side behind a tiny REST API (SQLite/JSON). Anyone opens the same URL; a save propagates company-wide on next load, stamped with who/what/when. The code already funnels every read/write through four functions, so the swap from localStorage is roughly a day of development plus a small IT-hosted VM/IIS site. Add roles: anyone saves sandbox layouts; only named owners publish Official ones.</w:t>
      </w:r>
    </w:p>
    <w:p>
      <w:pPr>
        <w:spacing w:after="80"/>
      </w:pPr>
      <w:r>
        <w:rPr>
          <w:b/>
          <w:sz w:val="21"/>
        </w:rPr>
        <w:t>Option B — SharePoint / Microsoft 365 native</w:t>
      </w:r>
    </w:p>
    <w:p>
      <w:pPr>
        <w:spacing w:after="80"/>
      </w:pPr>
      <w:r>
        <w:rPr>
          <w:b w:val="0"/>
          <w:sz w:val="21"/>
        </w:rPr>
        <w:t>Layout data in a SharePoint list via the Microsoft Graph API with company sign-in. No self-hosted server and auth is the existing M365 login, but needs an Azure AD app registration, more integration code, and SharePoint API limits. Choose only if IT prefers no self-hosted services.</w:t>
      </w:r>
    </w:p>
    <w:p>
      <w:pPr>
        <w:spacing w:after="80"/>
      </w:pPr>
      <w:r>
        <w:rPr>
          <w:b/>
          <w:sz w:val="21"/>
        </w:rPr>
        <w:t>Option C — Published-copy discipline (interim, zero IT effort)</w:t>
      </w:r>
    </w:p>
    <w:p>
      <w:pPr>
        <w:spacing w:after="80"/>
      </w:pPr>
      <w:r>
        <w:rPr>
          <w:b w:val="0"/>
          <w:sz w:val="21"/>
        </w:rPr>
        <w:t>One copy on SharePoint/network drive is the only official copy; one owner makes changes, uses “Save into app,” and republishes there. Works today, but sync is manual and only as strong as the discipline.</w:t>
      </w:r>
    </w:p>
    <w:p>
      <w:pPr>
        <w:spacing w:after="120"/>
      </w:pPr>
      <w:r>
        <w:rPr>
          <w:b/>
          <w:sz w:val="21"/>
        </w:rPr>
        <w:t>Recommendation: start C immediately (costs nothing), build A as the real fix.</w:t>
      </w:r>
    </w:p>
    <w:p>
      <w:pPr>
        <w:spacing w:before="200" w:after="60"/>
      </w:pPr>
      <w:r>
        <w:rPr>
          <w:b/>
          <w:color w:val="1D3A66"/>
          <w:sz w:val="28"/>
        </w:rPr>
        <w:t>4 · Change control for the data</w:t>
      </w:r>
    </w:p>
    <w:p>
      <w:pPr>
        <w:pStyle w:val="ListBullet"/>
        <w:spacing w:after="40"/>
      </w:pPr>
      <w:r>
        <w:rPr>
          <w:b/>
        </w:rPr>
        <w:t>Sandbox vs Official</w:t>
      </w:r>
      <w:r>
        <w:t xml:space="preserve"> — anyone experiments under their own name; only the named data owner overwrites Official layouts/times.</w:t>
      </w:r>
    </w:p>
    <w:p>
      <w:pPr>
        <w:pStyle w:val="ListBullet"/>
        <w:spacing w:after="40"/>
      </w:pPr>
      <w:r>
        <w:rPr>
          <w:b/>
        </w:rPr>
        <w:t>Times change with evidence</w:t>
      </w:r>
      <w:r>
        <w:t xml:space="preserve"> — official step times change only when a new/revised SWI backs them; the measured-vs-estimated register updates in the same change.</w:t>
      </w:r>
    </w:p>
    <w:p>
      <w:pPr>
        <w:pStyle w:val="ListBullet"/>
        <w:spacing w:after="40"/>
      </w:pPr>
      <w:r>
        <w:rPr>
          <w:b/>
        </w:rPr>
        <w:t>Change log</w:t>
      </w:r>
      <w:r>
        <w:t xml:space="preserve"> — the server records who changed what, when (Option A gives this for free).</w:t>
      </w:r>
    </w:p>
    <w:p>
      <w:pPr>
        <w:spacing w:before="200" w:after="60"/>
      </w:pPr>
      <w:r>
        <w:rPr>
          <w:b/>
          <w:color w:val="1D3A66"/>
          <w:sz w:val="28"/>
        </w:rPr>
        <w:t>5 · Handoff steps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432"/>
          </w:tcPr>
          <w:p>
            <w:r>
              <w:rPr>
                <w:b/>
              </w:rPr>
              <w:t>#</w:t>
            </w:r>
          </w:p>
        </w:tc>
        <w:tc>
          <w:tcPr>
            <w:tcW w:type="dxa" w:w="6336"/>
          </w:tcPr>
          <w:p>
            <w:r>
              <w:rPr>
                <w:b/>
              </w:rPr>
              <w:t>Step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</w:tr>
      <w:tr>
        <w:tc>
          <w:tcPr>
            <w:tcW w:type="dxa" w:w="432"/>
          </w:tcPr>
          <w:p>
            <w:r>
              <w:t>1</w:t>
            </w:r>
          </w:p>
        </w:tc>
        <w:tc>
          <w:tcPr>
            <w:tcW w:type="dxa" w:w="6336"/>
          </w:tcPr>
          <w:p>
            <w:r>
              <w:t>Decision meeting with IT: pick Option A/B; confirm hosting, auth (AD SSO?), backup</w:t>
            </w:r>
          </w:p>
        </w:tc>
        <w:tc>
          <w:tcPr>
            <w:tcW w:type="dxa" w:w="1440"/>
          </w:tcPr>
          <w:p>
            <w:r>
              <w:t>CI + IT</w:t>
            </w:r>
          </w:p>
        </w:tc>
        <w:tc>
          <w:tcPr>
            <w:tcW w:type="dxa" w:w="1440"/>
          </w:tcPr>
          <w:p>
            <w:r>
              <w:t>30 min</w:t>
            </w:r>
          </w:p>
        </w:tc>
      </w:tr>
      <w:tr>
        <w:tc>
          <w:tcPr>
            <w:tcW w:type="dxa" w:w="432"/>
          </w:tcPr>
          <w:p>
            <w:r>
              <w:t>2</w:t>
            </w:r>
          </w:p>
        </w:tc>
        <w:tc>
          <w:tcPr>
            <w:tcW w:type="dxa" w:w="6336"/>
          </w:tcPr>
          <w:p>
            <w:r>
              <w:t>Start Option C now: publish the official copy to SharePoint; announce “open from here only”</w:t>
            </w:r>
          </w:p>
        </w:tc>
        <w:tc>
          <w:tcPr>
            <w:tcW w:type="dxa" w:w="1440"/>
          </w:tcPr>
          <w:p>
            <w:r>
              <w:t>CI</w:t>
            </w:r>
          </w:p>
        </w:tc>
        <w:tc>
          <w:tcPr>
            <w:tcW w:type="dxa" w:w="1440"/>
          </w:tcPr>
          <w:p>
            <w:r>
              <w:t>1 hr</w:t>
            </w:r>
          </w:p>
        </w:tc>
      </w:tr>
      <w:tr>
        <w:tc>
          <w:tcPr>
            <w:tcW w:type="dxa" w:w="432"/>
          </w:tcPr>
          <w:p>
            <w:r>
              <w:t>3</w:t>
            </w:r>
          </w:p>
        </w:tc>
        <w:tc>
          <w:tcPr>
            <w:tcW w:type="dxa" w:w="6336"/>
          </w:tcPr>
          <w:p>
            <w:r>
              <w:t>Transfer code into TUUCI’s GitHub org / IT-controlled repo with build README</w:t>
            </w:r>
          </w:p>
        </w:tc>
        <w:tc>
          <w:tcPr>
            <w:tcW w:type="dxa" w:w="1440"/>
          </w:tcPr>
          <w:p>
            <w:r>
              <w:t>CI + IT</w:t>
            </w:r>
          </w:p>
        </w:tc>
        <w:tc>
          <w:tcPr>
            <w:tcW w:type="dxa" w:w="1440"/>
          </w:tcPr>
          <w:p>
            <w:r>
              <w:t>½ day</w:t>
            </w:r>
          </w:p>
        </w:tc>
      </w:tr>
      <w:tr>
        <w:tc>
          <w:tcPr>
            <w:tcW w:type="dxa" w:w="432"/>
          </w:tcPr>
          <w:p>
            <w:r>
              <w:t>4</w:t>
            </w:r>
          </w:p>
        </w:tc>
        <w:tc>
          <w:tcPr>
            <w:tcW w:type="dxa" w:w="6336"/>
          </w:tcPr>
          <w:p>
            <w:r>
              <w:t>Implement chosen storage (Option A: tiny REST API + swap four storage functions)</w:t>
            </w:r>
          </w:p>
        </w:tc>
        <w:tc>
          <w:tcPr>
            <w:tcW w:type="dxa" w:w="1440"/>
          </w:tcPr>
          <w:p>
            <w:r>
              <w:t>Dev</w:t>
            </w:r>
          </w:p>
        </w:tc>
        <w:tc>
          <w:tcPr>
            <w:tcW w:type="dxa" w:w="1440"/>
          </w:tcPr>
          <w:p>
            <w:r>
              <w:t>1–2 days</w:t>
            </w:r>
          </w:p>
        </w:tc>
      </w:tr>
      <w:tr>
        <w:tc>
          <w:tcPr>
            <w:tcW w:type="dxa" w:w="432"/>
          </w:tcPr>
          <w:p>
            <w:r>
              <w:t>5</w:t>
            </w:r>
          </w:p>
        </w:tc>
        <w:tc>
          <w:tcPr>
            <w:tcW w:type="dxa" w:w="6336"/>
          </w:tcPr>
          <w:p>
            <w:r>
              <w:t>Pilot with 2–3 mezzanine users; verify saves propagate</w:t>
            </w:r>
          </w:p>
        </w:tc>
        <w:tc>
          <w:tcPr>
            <w:tcW w:type="dxa" w:w="1440"/>
          </w:tcPr>
          <w:p>
            <w:r>
              <w:t>CI</w:t>
            </w:r>
          </w:p>
        </w:tc>
        <w:tc>
          <w:tcPr>
            <w:tcW w:type="dxa" w:w="1440"/>
          </w:tcPr>
          <w:p>
            <w:r>
              <w:t>1 week parallel</w:t>
            </w:r>
          </w:p>
        </w:tc>
      </w:tr>
      <w:tr>
        <w:tc>
          <w:tcPr>
            <w:tcW w:type="dxa" w:w="432"/>
          </w:tcPr>
          <w:p>
            <w:r>
              <w:t>6</w:t>
            </w:r>
          </w:p>
        </w:tc>
        <w:tc>
          <w:tcPr>
            <w:tcW w:type="dxa" w:w="6336"/>
          </w:tcPr>
          <w:p>
            <w:r>
              <w:t>Name owners: technical owner (builds/deploys) and data owner (publishes Official)</w:t>
            </w:r>
          </w:p>
        </w:tc>
        <w:tc>
          <w:tcPr>
            <w:tcW w:type="dxa" w:w="1440"/>
          </w:tcPr>
          <w:p>
            <w:r>
              <w:t>Mgmt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432"/>
          </w:tcPr>
          <w:p>
            <w:r>
              <w:t>7</w:t>
            </w:r>
          </w:p>
        </w:tc>
        <w:tc>
          <w:tcPr>
            <w:tcW w:type="dxa" w:w="6336"/>
          </w:tcPr>
          <w:p>
            <w:r>
              <w:t>Training: 1-hour session + one-page cheat sheet</w:t>
            </w:r>
          </w:p>
        </w:tc>
        <w:tc>
          <w:tcPr>
            <w:tcW w:type="dxa" w:w="1440"/>
          </w:tcPr>
          <w:p>
            <w:r>
              <w:t>CI</w:t>
            </w:r>
          </w:p>
        </w:tc>
        <w:tc>
          <w:tcPr>
            <w:tcW w:type="dxa" w:w="1440"/>
          </w:tcPr>
          <w:p>
            <w:r>
              <w:t>½ day prep</w:t>
            </w:r>
          </w:p>
        </w:tc>
      </w:tr>
      <w:tr>
        <w:tc>
          <w:tcPr>
            <w:tcW w:type="dxa" w:w="432"/>
          </w:tcPr>
          <w:p>
            <w:r>
              <w:t>8</w:t>
            </w:r>
          </w:p>
        </w:tc>
        <w:tc>
          <w:tcPr>
            <w:tcW w:type="dxa" w:w="6336"/>
          </w:tcPr>
          <w:p>
            <w:r>
              <w:t>Support path + keep assumptions register current</w:t>
            </w:r>
          </w:p>
        </w:tc>
        <w:tc>
          <w:tcPr>
            <w:tcW w:type="dxa" w:w="1440"/>
          </w:tcPr>
          <w:p>
            <w:r>
              <w:t>Data owner</w:t>
            </w:r>
          </w:p>
        </w:tc>
        <w:tc>
          <w:tcPr>
            <w:tcW w:type="dxa" w:w="1440"/>
          </w:tcPr>
          <w:p>
            <w:r>
              <w:t>ongoing</w:t>
            </w:r>
          </w:p>
        </w:tc>
      </w:tr>
    </w:tbl>
    <w:p>
      <w:pPr>
        <w:spacing w:before="200" w:after="60"/>
      </w:pPr>
      <w:r>
        <w:rPr>
          <w:b/>
          <w:color w:val="1D3A66"/>
          <w:sz w:val="28"/>
        </w:rPr>
        <w:t>6 · Open decisions for TUUCI</w:t>
      </w:r>
    </w:p>
    <w:p>
      <w:pPr>
        <w:pStyle w:val="ListBullet"/>
        <w:spacing w:after="40"/>
      </w:pPr>
      <w:r>
        <w:t>Hosting: internal VM/IIS vs M365-native (drives Option A vs B)</w:t>
      </w:r>
    </w:p>
    <w:p>
      <w:pPr>
        <w:pStyle w:val="ListBullet"/>
        <w:spacing w:after="40"/>
      </w:pPr>
      <w:r>
        <w:t>Authentication: open on the LAN vs AD sign-in with roles</w:t>
      </w:r>
    </w:p>
    <w:p>
      <w:pPr>
        <w:pStyle w:val="ListBullet"/>
        <w:spacing w:after="40"/>
      </w:pPr>
      <w:r>
        <w:t>Backup/retention of the layout database</w:t>
      </w:r>
    </w:p>
    <w:p>
      <w:pPr>
        <w:pStyle w:val="ListBullet"/>
        <w:spacing w:after="40"/>
      </w:pPr>
      <w:r>
        <w:t>Named technical owner and data owner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