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Custodio RAT Manager</w:t>
      </w:r>
    </w:p>
    <w:p/>
    <w:p>
      <w:pPr>
        <w:pStyle w:val="Heading1"/>
        <w:jc w:val="center"/>
      </w:pPr>
      <w:r>
        <w:t>02 — Requisitos</w:t>
      </w:r>
    </w:p>
    <w:p>
      <w:pPr>
        <w:jc w:val="center"/>
      </w:pPr>
      <w:r>
        <w:t>Requisitos Funcionales y No Funcionales</w:t>
      </w:r>
    </w:p>
    <w:p/>
    <w:p>
      <w:pPr>
        <w:jc w:val="center"/>
      </w:pPr>
      <w:r>
        <w:t>Versión: v1.13  ·  Fecha: 24/08/2026</w:t>
        <w:br/>
        <w:t>Ley 21.719 — Protección de Datos Personales de Chile</w:t>
      </w:r>
    </w:p>
    <w:p>
      <w:r>
        <w:br w:type="page"/>
      </w:r>
    </w:p>
    <w:p>
      <w:pPr>
        <w:pStyle w:val="Heading1"/>
      </w:pPr>
      <w:r>
        <w:t>1. Nuevos Requisitos v1.13</w:t>
      </w:r>
    </w:p>
    <w:p>
      <w:pPr>
        <w:pStyle w:val="Heading2"/>
      </w:pPr>
      <w:r>
        <w:t>1.1 Requisitos Funcionales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97D" w:color="auto" w:val="clear"/>
          </w:tcPr>
          <w:p>
            <w:r>
              <w:rPr>
                <w:b/>
                <w:color w:val="FFFFFF"/>
              </w:rPr>
              <w:t>ID</w:t>
            </w:r>
          </w:p>
        </w:tc>
        <w:tc>
          <w:tcPr>
            <w:tcW w:type="dxa" w:w="2160"/>
            <w:shd w:fill="1F497D" w:color="auto" w:val="clear"/>
          </w:tcPr>
          <w:p>
            <w:r>
              <w:rPr>
                <w:b/>
                <w:color w:val="FFFFFF"/>
              </w:rPr>
              <w:t>Nombre</w:t>
            </w:r>
          </w:p>
        </w:tc>
        <w:tc>
          <w:tcPr>
            <w:tcW w:type="dxa" w:w="2160"/>
            <w:shd w:fill="1F497D" w:color="auto" w:val="clear"/>
          </w:tcPr>
          <w:p>
            <w:r>
              <w:rPr>
                <w:b/>
                <w:color w:val="FFFFFF"/>
              </w:rPr>
              <w:t>Prioridad</w:t>
            </w:r>
          </w:p>
        </w:tc>
        <w:tc>
          <w:tcPr>
            <w:tcW w:type="dxa" w:w="2160"/>
            <w:shd w:fill="1F497D" w:color="auto" w:val="clear"/>
          </w:tcPr>
          <w:p>
            <w:r>
              <w:rPr>
                <w:b/>
                <w:color w:val="FFFFFF"/>
              </w:rPr>
              <w:t>Descripción</w:t>
            </w:r>
          </w:p>
        </w:tc>
      </w:tr>
      <w:tr>
        <w:tc>
          <w:tcPr>
            <w:tcW w:type="dxa" w:w="2160"/>
          </w:tcPr>
          <w:p>
            <w:r>
              <w:t>RF-174</w:t>
            </w:r>
          </w:p>
        </w:tc>
        <w:tc>
          <w:tcPr>
            <w:tcW w:type="dxa" w:w="2160"/>
          </w:tcPr>
          <w:p>
            <w:r>
              <w:t>Verificar titular repetido (público)</w:t>
            </w:r>
          </w:p>
        </w:tc>
        <w:tc>
          <w:tcPr>
            <w:tcW w:type="dxa" w:w="2160"/>
          </w:tcPr>
          <w:p>
            <w:r>
              <w:t>MEDIO</w:t>
            </w:r>
          </w:p>
        </w:tc>
        <w:tc>
          <w:tcPr>
            <w:tcW w:type="dxa" w:w="2160"/>
          </w:tcPr>
          <w:p>
            <w:r>
              <w:t>El sistema debe verificar si un email ya tiene tickets ARCO abiertos en una empresa antes de que el titular envíe una nueva solicitud. La verificación es opcional (no bloquea el envío) y se realiza vía GET /publico/verificar-titular.</w:t>
            </w:r>
          </w:p>
        </w:tc>
      </w:tr>
      <w:tr>
        <w:tc>
          <w:tcPr>
            <w:tcW w:type="dxa" w:w="2160"/>
          </w:tcPr>
          <w:p>
            <w:r>
              <w:t>RF-175</w:t>
            </w:r>
          </w:p>
        </w:tc>
        <w:tc>
          <w:tcPr>
            <w:tcW w:type="dxa" w:w="2160"/>
          </w:tcPr>
          <w:p>
            <w:r>
              <w:t>Acuse de recibo automático ARCO</w:t>
            </w:r>
          </w:p>
        </w:tc>
        <w:tc>
          <w:tcPr>
            <w:tcW w:type="dxa" w:w="2160"/>
          </w:tcPr>
          <w:p>
            <w:r>
              <w:t>ALTO</w:t>
            </w:r>
          </w:p>
        </w:tc>
        <w:tc>
          <w:tcPr>
            <w:tcW w:type="dxa" w:w="2160"/>
          </w:tcPr>
          <w:p>
            <w:r>
              <w:t>Al crear un ticket ARCO con email del titular, el sistema debe enviar un acuse de recibo automático con tracking token, empresa, tipo de derecho y fecha de vencimiento. Si el envío falla, se registra warning sin revertir el ticket.</w:t>
            </w:r>
          </w:p>
        </w:tc>
      </w:tr>
      <w:tr>
        <w:tc>
          <w:tcPr>
            <w:tcW w:type="dxa" w:w="2160"/>
          </w:tcPr>
          <w:p>
            <w:r>
              <w:t>RF-176</w:t>
            </w:r>
          </w:p>
        </w:tc>
        <w:tc>
          <w:tcPr>
            <w:tcW w:type="dxa" w:w="2160"/>
          </w:tcPr>
          <w:p>
            <w:r>
              <w:t>Placeholders dinámicos en respuesta ARCO</w:t>
            </w:r>
          </w:p>
        </w:tc>
        <w:tc>
          <w:tcPr>
            <w:tcW w:type="dxa" w:w="2160"/>
          </w:tcPr>
          <w:p>
            <w:r>
              <w:t>MEDIO</w:t>
            </w:r>
          </w:p>
        </w:tc>
        <w:tc>
          <w:tcPr>
            <w:tcW w:type="dxa" w:w="2160"/>
          </w:tcPr>
          <w:p>
            <w:r>
              <w:t>El operador debe poder insertar variables dinámicas en el texto de respuesta mediante chips de selección: {{nombre_titular}}, {{empresa}}, {{fecha}}, {{numero_solicitud}}, {{dias_bloqueo}}, {{fecha_vencimiento}}.</w:t>
            </w:r>
          </w:p>
        </w:tc>
      </w:tr>
      <w:tr>
        <w:tc>
          <w:tcPr>
            <w:tcW w:type="dxa" w:w="2160"/>
          </w:tcPr>
          <w:p>
            <w:r>
              <w:t>RF-177</w:t>
            </w:r>
          </w:p>
        </w:tc>
        <w:tc>
          <w:tcPr>
            <w:tcW w:type="dxa" w:w="2160"/>
          </w:tcPr>
          <w:p>
            <w:r>
              <w:t>Banner SLA en flujo ARCO</w:t>
            </w:r>
          </w:p>
        </w:tc>
        <w:tc>
          <w:tcPr>
            <w:tcW w:type="dxa" w:w="2160"/>
          </w:tcPr>
          <w:p>
            <w:r>
              <w:t>MEDIO</w:t>
            </w:r>
          </w:p>
        </w:tc>
        <w:tc>
          <w:tcPr>
            <w:tcW w:type="dxa" w:w="2160"/>
          </w:tcPr>
          <w:p>
            <w:r>
              <w:t>El modal de flujo debe mostrar los días hábiles consumidos y restantes del SLA legal con un semáforo de color: verde (&gt;5 días), amarillo (2-5 días), rojo (&lt;2 días).</w:t>
            </w:r>
          </w:p>
        </w:tc>
      </w:tr>
      <w:tr>
        <w:tc>
          <w:tcPr>
            <w:tcW w:type="dxa" w:w="2160"/>
          </w:tcPr>
          <w:p>
            <w:r>
              <w:t>RF-178</w:t>
            </w:r>
          </w:p>
        </w:tc>
        <w:tc>
          <w:tcPr>
            <w:tcW w:type="dxa" w:w="2160"/>
          </w:tcPr>
          <w:p>
            <w:r>
              <w:t>Ficha de empresa con tabs</w:t>
            </w:r>
          </w:p>
        </w:tc>
        <w:tc>
          <w:tcPr>
            <w:tcW w:type="dxa" w:w="2160"/>
          </w:tcPr>
          <w:p>
            <w:r>
              <w:t>MEDIO</w:t>
            </w:r>
          </w:p>
        </w:tc>
        <w:tc>
          <w:tcPr>
            <w:tcW w:type="dxa" w:w="2160"/>
          </w:tcPr>
          <w:p>
            <w:r>
              <w:t>El listado de empresas debe ofrecer acceso a una ficha de empresa con tabs: Datos (edición), RATs (listado), ARCO (tickets), Brechas. Cada tab carga datos al seleccionarse.</w:t>
            </w:r>
          </w:p>
        </w:tc>
      </w:tr>
      <w:tr>
        <w:tc>
          <w:tcPr>
            <w:tcW w:type="dxa" w:w="2160"/>
          </w:tcPr>
          <w:p>
            <w:r>
              <w:t>RF-179</w:t>
            </w:r>
          </w:p>
        </w:tc>
        <w:tc>
          <w:tcPr>
            <w:tcW w:type="dxa" w:w="2160"/>
          </w:tcPr>
          <w:p>
            <w:r>
              <w:t>Escaneo de dependencias CVE</w:t>
            </w:r>
          </w:p>
        </w:tc>
        <w:tc>
          <w:tcPr>
            <w:tcW w:type="dxa" w:w="2160"/>
          </w:tcPr>
          <w:p>
            <w:r>
              <w:t>ALTO</w:t>
            </w:r>
          </w:p>
        </w:tc>
        <w:tc>
          <w:tcPr>
            <w:tcW w:type="dxa" w:w="2160"/>
          </w:tcPr>
          <w:p>
            <w:r>
              <w:t>El pipeline CI debe incluir escaneo automático de vulnerabilidades CVE en las dependencias Python. Las vulnerabilidades CRITICAL bloquean el deploy; las HIGH generan advertencias.</w:t>
            </w:r>
          </w:p>
        </w:tc>
      </w:tr>
    </w:tbl>
    <w:p>
      <w:pPr>
        <w:pStyle w:val="Heading2"/>
      </w:pPr>
      <w:r>
        <w:t>1.2 Requisitos No Funcionales</w:t>
      </w:r>
    </w:p>
    <w:tbl>
      <w:tblPr>
        <w:tblStyle w:val="TableGrid"/>
        <w:tblW w:type="auto" w:w="0"/>
        <w:tblLook w:firstColumn="1" w:firstRow="1" w:lastColumn="0" w:lastRow="0" w:noHBand="0" w:noVBand="1" w:val="04A0"/>
      </w:tblPr>
      <w:tblGrid>
        <w:gridCol w:w="2880"/>
        <w:gridCol w:w="2880"/>
        <w:gridCol w:w="2880"/>
      </w:tblGrid>
      <w:tr>
        <w:tc>
          <w:tcPr>
            <w:tcW w:type="dxa" w:w="2880"/>
            <w:shd w:fill="1F497D" w:color="auto" w:val="clear"/>
          </w:tcPr>
          <w:p>
            <w:r>
              <w:rPr>
                <w:b/>
                <w:color w:val="FFFFFF"/>
              </w:rPr>
              <w:t>ID</w:t>
            </w:r>
          </w:p>
        </w:tc>
        <w:tc>
          <w:tcPr>
            <w:tcW w:type="dxa" w:w="2880"/>
            <w:shd w:fill="1F497D" w:color="auto" w:val="clear"/>
          </w:tcPr>
          <w:p>
            <w:r>
              <w:rPr>
                <w:b/>
                <w:color w:val="FFFFFF"/>
              </w:rPr>
              <w:t>Nombre</w:t>
            </w:r>
          </w:p>
        </w:tc>
        <w:tc>
          <w:tcPr>
            <w:tcW w:type="dxa" w:w="2880"/>
            <w:shd w:fill="1F497D" w:color="auto" w:val="clear"/>
          </w:tcPr>
          <w:p>
            <w:r>
              <w:rPr>
                <w:b/>
                <w:color w:val="FFFFFF"/>
              </w:rPr>
              <w:t>Descripción</w:t>
            </w:r>
          </w:p>
        </w:tc>
      </w:tr>
      <w:tr>
        <w:tc>
          <w:tcPr>
            <w:tcW w:type="dxa" w:w="2880"/>
          </w:tcPr>
          <w:p>
            <w:r>
              <w:t>RNF-21</w:t>
            </w:r>
          </w:p>
        </w:tc>
        <w:tc>
          <w:tcPr>
            <w:tcW w:type="dxa" w:w="2880"/>
          </w:tcPr>
          <w:p>
            <w:r>
              <w:t>Nomenclatura APDP</w:t>
            </w:r>
          </w:p>
        </w:tc>
        <w:tc>
          <w:tcPr>
            <w:tcW w:type="dxa" w:w="2880"/>
          </w:tcPr>
          <w:p>
            <w:r>
              <w:t>Toda referencia a la agencia reguladora chilena debe usar 'APDP' (Agencia de Protección de Datos Personales), no 'APDC'.</w:t>
            </w:r>
          </w:p>
        </w:tc>
      </w:tr>
      <w:tr>
        <w:tc>
          <w:tcPr>
            <w:tcW w:type="dxa" w:w="2880"/>
          </w:tcPr>
          <w:p>
            <w:r>
              <w:t>RNF-22</w:t>
            </w:r>
          </w:p>
        </w:tc>
        <w:tc>
          <w:tcPr>
            <w:tcW w:type="dxa" w:w="2880"/>
          </w:tcPr>
          <w:p>
            <w:r>
              <w:t>Rate limit verificación titular</w:t>
            </w:r>
          </w:p>
        </w:tc>
        <w:tc>
          <w:tcPr>
            <w:tcW w:type="dxa" w:w="2880"/>
          </w:tcPr>
          <w:p>
            <w:r>
              <w:t>GET /publico/verificar-titular debe estar limitado a 20 llamadas/minuto por IP para prevenir enumeración de emails.</w:t>
            </w:r>
          </w:p>
        </w:tc>
      </w:tr>
    </w:tbl>
    <w:p>
      <w:pPr>
        <w:pStyle w:val="Heading1"/>
      </w:pPr>
      <w:r>
        <w:t>2. Requisitos Anteriores Vigentes</w:t>
      </w:r>
    </w:p>
    <w:p>
      <w:r>
        <w:t>Los requisitos RF-001 a RF-173 documentados en versiones anteriores permanecen vigentes. Ver 02_Requisitos_v1.10.docx para el detalle completo.</w:t>
      </w:r>
    </w:p>
    <w:p>
      <w:r>
        <w:br w:type="page"/>
      </w:r>
    </w:p>
    <w:p>
      <w:pPr>
        <w:pStyle w:val="Heading1"/>
      </w:pPr>
      <w:r>
        <w:t>Requisitos de Seguridad RBAC — Actualización v1.13</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Nombre</w:t>
            </w:r>
          </w:p>
        </w:tc>
        <w:tc>
          <w:tcPr>
            <w:tcW w:type="dxa" w:w="2880"/>
          </w:tcPr>
          <w:p>
            <w:r>
              <w:t>Descripción</w:t>
            </w:r>
          </w:p>
        </w:tc>
      </w:tr>
      <w:tr>
        <w:tc>
          <w:tcPr>
            <w:tcW w:type="dxa" w:w="2880"/>
          </w:tcPr>
          <w:p>
            <w:r>
              <w:t>RQ-SEC-01</w:t>
            </w:r>
          </w:p>
        </w:tc>
        <w:tc>
          <w:tcPr>
            <w:tcW w:type="dxa" w:w="2880"/>
          </w:tcPr>
          <w:p>
            <w:r>
              <w:t>Discovery escritura requiere editor+</w:t>
            </w:r>
          </w:p>
        </w:tc>
        <w:tc>
          <w:tcPr>
            <w:tcW w:type="dxa" w:w="2880"/>
          </w:tcPr>
          <w:p>
            <w:r>
              <w:t>Los endpoints POST /discovery/sources, PATCH /discovery/sources/{id}, DELETE /discovery/sources/{id}, POST /discovery/sources/{id}/scan y PATCH /discovery/findings/{id}/vincular-rat deben exigir rol 'editor' o 'admin' per-empresa. Un 'viewer' debe recibir 403.</w:t>
            </w:r>
          </w:p>
        </w:tc>
      </w:tr>
      <w:tr>
        <w:tc>
          <w:tcPr>
            <w:tcW w:type="dxa" w:w="2880"/>
          </w:tcPr>
          <w:p>
            <w:r>
              <w:t>RQ-SEC-02</w:t>
            </w:r>
          </w:p>
        </w:tc>
        <w:tc>
          <w:tcPr>
            <w:tcW w:type="dxa" w:w="2880"/>
          </w:tcPr>
          <w:p>
            <w:r>
              <w:t>EIPD escritura requiere editor+</w:t>
            </w:r>
          </w:p>
        </w:tc>
        <w:tc>
          <w:tcPr>
            <w:tcW w:type="dxa" w:w="2880"/>
          </w:tcPr>
          <w:p>
            <w:r>
              <w:t>POST /eipd/ y PUT /eipd/{id} deben exigir rol 'editor' o 'admin' per-empresa.</w:t>
            </w:r>
          </w:p>
        </w:tc>
      </w:tr>
      <w:tr>
        <w:tc>
          <w:tcPr>
            <w:tcW w:type="dxa" w:w="2880"/>
          </w:tcPr>
          <w:p>
            <w:r>
              <w:t>RQ-SEC-03</w:t>
            </w:r>
          </w:p>
        </w:tc>
        <w:tc>
          <w:tcPr>
            <w:tcW w:type="dxa" w:w="2880"/>
          </w:tcPr>
          <w:p>
            <w:r>
              <w:t>Contratos de Encargado escritura requiere editor+</w:t>
            </w:r>
          </w:p>
        </w:tc>
        <w:tc>
          <w:tcPr>
            <w:tcW w:type="dxa" w:w="2880"/>
          </w:tcPr>
          <w:p>
            <w:r>
              <w:t>POST /encargados-contrato/, PUT /encargados-contrato/{id} y DELETE /encargados-contrato/{id} deben exigir rol 'editor' o 'admin' per-empresa.</w:t>
            </w:r>
          </w:p>
        </w:tc>
      </w:tr>
      <w:tr>
        <w:tc>
          <w:tcPr>
            <w:tcW w:type="dxa" w:w="2880"/>
          </w:tcPr>
          <w:p>
            <w:r>
              <w:t>RQ-SEC-04</w:t>
            </w:r>
          </w:p>
        </w:tc>
        <w:tc>
          <w:tcPr>
            <w:tcW w:type="dxa" w:w="2880"/>
          </w:tcPr>
          <w:p>
            <w:r>
              <w:t>Brechas escritura bloquea 'usuario' global</w:t>
            </w:r>
          </w:p>
        </w:tc>
        <w:tc>
          <w:tcPr>
            <w:tcW w:type="dxa" w:w="2880"/>
          </w:tcPr>
          <w:p>
            <w:r>
              <w:t>PUT /brechas/{id}, DELETE /brechas/{id} y POST /brechas/{id}/evaluar-riesgo deben rechazar solicitudes de usuarios con rol_global='usuario'.</w:t>
            </w:r>
          </w:p>
        </w:tc>
      </w:tr>
      <w:tr>
        <w:tc>
          <w:tcPr>
            <w:tcW w:type="dxa" w:w="2880"/>
          </w:tcPr>
          <w:p>
            <w:r>
              <w:t>RQ-SEC-05</w:t>
            </w:r>
          </w:p>
        </w:tc>
        <w:tc>
          <w:tcPr>
            <w:tcW w:type="dxa" w:w="2880"/>
          </w:tcPr>
          <w:p>
            <w:r>
              <w:t>Consentimientos escritura bloquea 'usuario' global</w:t>
            </w:r>
          </w:p>
        </w:tc>
        <w:tc>
          <w:tcPr>
            <w:tcW w:type="dxa" w:w="2880"/>
          </w:tcPr>
          <w:p>
            <w:r>
              <w:t>POST /consentimientos/ y POST /consentimientos/{id}/revocar deben rechazar 'usuario' global.</w:t>
            </w:r>
          </w:p>
        </w:tc>
      </w:tr>
      <w:tr>
        <w:tc>
          <w:tcPr>
            <w:tcW w:type="dxa" w:w="2880"/>
          </w:tcPr>
          <w:p>
            <w:r>
              <w:t>RQ-SEC-06</w:t>
            </w:r>
          </w:p>
        </w:tc>
        <w:tc>
          <w:tcPr>
            <w:tcW w:type="dxa" w:w="2880"/>
          </w:tcPr>
          <w:p>
            <w:r>
              <w:t>TKT notas escritura bloquea 'usuario' global</w:t>
            </w:r>
          </w:p>
        </w:tc>
        <w:tc>
          <w:tcPr>
            <w:tcW w:type="dxa" w:w="2880"/>
          </w:tcPr>
          <w:p>
            <w:r>
              <w:t>POST /tkt-solicitud-derecho/{id}/notas debe rechazar 'usuario' global.</w:t>
            </w:r>
          </w:p>
        </w:tc>
      </w:tr>
      <w:tr>
        <w:tc>
          <w:tcPr>
            <w:tcW w:type="dxa" w:w="2880"/>
          </w:tcPr>
          <w:p>
            <w:r>
              <w:t>RQ-SEC-07</w:t>
            </w:r>
          </w:p>
        </w:tc>
        <w:tc>
          <w:tcPr>
            <w:tcW w:type="dxa" w:w="2880"/>
          </w:tcPr>
          <w:p>
            <w:r>
              <w:t>Anti-IDOR en reglas de asignación</w:t>
            </w:r>
          </w:p>
        </w:tc>
        <w:tc>
          <w:tcPr>
            <w:tcW w:type="dxa" w:w="2880"/>
          </w:tcPr>
          <w:p>
            <w:r>
              <w:t>PUT /tkt-reglas-asignacion/{id} debe validar que el nuevo company_id destino también sea accesible por el usuario que realiza la petición.</w:t>
            </w:r>
          </w:p>
        </w:tc>
      </w:tr>
      <w:tr>
        <w:tc>
          <w:tcPr>
            <w:tcW w:type="dxa" w:w="2880"/>
          </w:tcPr>
          <w:p>
            <w:r>
              <w:t>RQ-SEC-08</w:t>
            </w:r>
          </w:p>
        </w:tc>
        <w:tc>
          <w:tcPr>
            <w:tcW w:type="dxa" w:w="2880"/>
          </w:tcPr>
          <w:p>
            <w:r>
              <w:t>ARCO público — módulo habilitado</w:t>
            </w:r>
          </w:p>
        </w:tc>
        <w:tc>
          <w:tcPr>
            <w:tcW w:type="dxa" w:w="2880"/>
          </w:tcPr>
          <w:p>
            <w:r>
              <w:t>GET /publico/empresas solo debe retornar empresas con módulo ARCO activo. POST /publico/ejercer-derechos debe rechazar empresas con ARCO deshabilitado.</w:t>
            </w:r>
          </w:p>
        </w:tc>
      </w:tr>
    </w:tbl>
    <w:p>
      <w:r>
        <w:br w:type="page"/>
      </w:r>
    </w:p>
    <w:p>
      <w:pPr>
        <w:pStyle w:val="Heading1"/>
      </w:pPr>
      <w:r>
        <w:t>Historial de cambios — v1.13</w:t>
      </w:r>
    </w:p>
    <w:p>
      <w:r>
        <w:rPr>
          <w:b/>
        </w:rPr>
        <w:t>Versión v1.13 — 2026-09-06</w:t>
      </w:r>
    </w:p>
    <w:p>
      <w:r>
        <w:t>Este documento ha sido actualizado desde v1.12 para reflejar los fixes de seguridad, performance y documentación aplicados en la ronda de auditoría QA de septiembre 2026.</w:t>
      </w:r>
    </w:p>
    <w:p>
      <w:pPr>
        <w:pStyle w:val="Heading2"/>
      </w:pPr>
      <w:r>
        <w:t>Cambios incluidos en esta versión</w:t>
      </w:r>
    </w:p>
    <w:p>
      <w:pPr>
        <w:pStyle w:val="ListBullet"/>
      </w:pPr>
      <w:r>
        <w:rPr>
          <w:b/>
        </w:rPr>
        <w:t xml:space="preserve">Seguridad — RBAC Discovery: </w:t>
      </w:r>
      <w:r>
        <w:t>Endpoints de escritura en /discovery/ (POST sources, PATCH sources, DELETE sources, POST scan, POST scan/manual, PATCH findings/vincular-rat) ahora exigen rol 'editor' o 'admin' per-empresa. Un usuario con rol 'viewer' ya no puede crear fuentes de datos ni ejecutar escaneos.</w:t>
      </w:r>
    </w:p>
    <w:p>
      <w:pPr>
        <w:pStyle w:val="ListBullet"/>
      </w:pPr>
      <w:r>
        <w:rPr>
          <w:b/>
        </w:rPr>
        <w:t xml:space="preserve">Seguridad — RBAC EIPD: </w:t>
      </w:r>
      <w:r>
        <w:t>POST /eipd/ y PUT /eipd/{id} ahora exigen require_editor_or_admin_empresa. Un usuario con rol 'viewer' per-empresa ya no puede crear ni actualizar EIPDs.</w:t>
      </w:r>
    </w:p>
    <w:p>
      <w:pPr>
        <w:pStyle w:val="ListBullet"/>
      </w:pPr>
      <w:r>
        <w:rPr>
          <w:b/>
        </w:rPr>
        <w:t xml:space="preserve">Seguridad — RBAC Contratos de Encargado: </w:t>
      </w:r>
      <w:r>
        <w:t>POST /encargados-contrato/, PUT /encargados-contrato/{id} y DELETE /encargados-contrato/{id} ahora exigen require_editor_or_admin_empresa. 'viewer' ya no puede modificar contratos de encargado.</w:t>
      </w:r>
    </w:p>
    <w:p>
      <w:pPr>
        <w:pStyle w:val="ListBullet"/>
      </w:pPr>
      <w:r>
        <w:rPr>
          <w:b/>
        </w:rPr>
        <w:t xml:space="preserve">Performance — Límites de queries: </w:t>
      </w:r>
      <w:r>
        <w:t>Se agregaron .limit() a queries que podían retornar conjuntos no acotados: get_audit_logs → .limit(500); DiscoveryFinding queries → .limit(5000). Previene timeouts y degradación de memoria ante volúmenes grandes de datos.</w:t>
      </w:r>
    </w:p>
    <w:p>
      <w:pPr>
        <w:pStyle w:val="ListBullet"/>
      </w:pPr>
      <w:r>
        <w:rPr>
          <w:b/>
        </w:rPr>
        <w:t xml:space="preserve">Documentación — Discovery: </w:t>
      </w:r>
      <w:r>
        <w:t>Se agregó la sección Discovery &amp; Mapping a CLAUDE.md y a la tabla de endpoints de la API. Se documentó la tabla RBAC por módulo con las reglas canónicas de acceso.</w:t>
      </w:r>
    </w:p>
    <w:p>
      <w:pPr>
        <w:pStyle w:val="Heading2"/>
      </w:pPr>
      <w:r>
        <w:t>Cambios de versiones anteriores incorporados</w:t>
      </w:r>
    </w:p>
    <w:p>
      <w:pPr>
        <w:pStyle w:val="ListBullet"/>
      </w:pPr>
      <w:r>
        <w:rPr>
          <w:b/>
        </w:rPr>
        <w:t xml:space="preserve">Seguridad — RBAC Brechas: </w:t>
      </w:r>
      <w:r>
        <w:t>PUT /brechas/{id}, DELETE /brechas/{id} y POST /brechas/{id}/evaluar-riesgo bloquean rol 'usuario' global. require_module_enabled('BRECHAS') ahora se aplica también en POST/PUT/DELETE.</w:t>
      </w:r>
    </w:p>
    <w:p>
      <w:pPr>
        <w:pStyle w:val="ListBullet"/>
      </w:pPr>
      <w:r>
        <w:rPr>
          <w:b/>
        </w:rPr>
        <w:t xml:space="preserve">Seguridad — RBAC Consentimientos: </w:t>
      </w:r>
      <w:r>
        <w:t>POST /consentimientos/ y POST /consentimientos/{id}/revocar bloquean rol 'usuario' global.</w:t>
      </w:r>
    </w:p>
    <w:p>
      <w:pPr>
        <w:pStyle w:val="ListBullet"/>
      </w:pPr>
      <w:r>
        <w:rPr>
          <w:b/>
        </w:rPr>
        <w:t xml:space="preserve">Seguridad — RBAC TKT Notas: </w:t>
      </w:r>
      <w:r>
        <w:t>POST /tkt-solicitud-derecho/{id}/notas bloquea rol 'usuario' global.</w:t>
      </w:r>
    </w:p>
    <w:p>
      <w:pPr>
        <w:pStyle w:val="ListBullet"/>
      </w:pPr>
      <w:r>
        <w:rPr>
          <w:b/>
        </w:rPr>
        <w:t xml:space="preserve">Seguridad — IDOR Reglas de Asignación: </w:t>
      </w:r>
      <w:r>
        <w:t>PUT /tkt-reglas-asignacion/{id} validaba acceso a company_id original pero no al company_id destino. Un admin_empresa podía reasignar reglas a empresas de otras compañías. Corregido.</w:t>
      </w:r>
    </w:p>
    <w:p>
      <w:pPr>
        <w:pStyle w:val="ListBullet"/>
      </w:pPr>
      <w:r>
        <w:rPr>
          <w:b/>
        </w:rPr>
        <w:t xml:space="preserve">Seguridad — ARCO Público módulo deshabilitado: </w:t>
      </w:r>
      <w:r>
        <w:t>GET /publico/empresas filtraba por ARCO activo solo en memoria sin query eficiente (N+1). POST /publico/ejercer-derechos no verificaba el módulo ARCO. Ambos corregidos.</w:t>
      </w:r>
    </w:p>
    <w:p>
      <w:pPr>
        <w:pStyle w:val="ListBullet"/>
      </w:pPr>
      <w:r>
        <w:rPr>
          <w:b/>
        </w:rPr>
        <w:t xml:space="preserve">Seguridad — CSRF token field name: </w:t>
      </w:r>
      <w:r>
        <w:t>getCsrfToken() en frontend/lib/api.ts leía data.csrf_token (indefinido) en vez de data.token. El formulario ARCO público retornaba 403 en cada envío. Corregido.</w:t>
      </w:r>
    </w:p>
    <w:p>
      <w:pPr>
        <w:pStyle w:val="ListBullet"/>
      </w:pPr>
      <w:r>
        <w:rPr>
          <w:b/>
        </w:rPr>
        <w:t xml:space="preserve">Datos — _truthy(False): </w:t>
      </w:r>
      <w:r>
        <w:t>rat_calculations._truthy() no manejaba bool explícitamente; False retornaba True. Campos booleanos con default=False (datos_anonimizados, transferencia_nacional) se contaban como completados. Fix: if isinstance(value, bool): return value.</w:t>
      </w:r>
    </w:p>
    <w:p>
      <w:pPr>
        <w:pStyle w:val="ListBullet"/>
      </w:pPr>
      <w:r>
        <w:rPr>
          <w:b/>
        </w:rPr>
        <w:t xml:space="preserve">Datos — evidencia_respuesta_hash: </w:t>
      </w:r>
      <w:r>
        <w:t>El hash de integridad ARCO se computaba antes de aplicar respuesta_texto del PATCH entrante. Si el cliente enviaba estado=resuelto + respuesta_texto en un solo PATCH, el hash quedaba sobre cadena vacía. Fix: usar data.respuesta_texto or ticket.respuesta_texto al momento de hashear.</w:t>
      </w:r>
    </w:p>
    <w:p>
      <w:pPr>
        <w:pStyle w:val="ListBullet"/>
      </w:pPr>
      <w:r>
        <w:rPr>
          <w:b/>
        </w:rPr>
        <w:t xml:space="preserve">API — GET /eipd/{id} faltante: </w:t>
      </w:r>
      <w:r>
        <w:t>El servicio tenía get_eipd_by_id() pero no existía la ruta GET. Retornaba 405. Agregada con IDOR check.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