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Custodio RAT Manager</w:t>
      </w:r>
    </w:p>
    <w:p/>
    <w:p>
      <w:pPr>
        <w:pStyle w:val="Heading1"/>
        <w:jc w:val="center"/>
      </w:pPr>
      <w:r>
        <w:t>03 — Historias de Usuario</w:t>
      </w:r>
    </w:p>
    <w:p>
      <w:pPr>
        <w:jc w:val="center"/>
      </w:pPr>
      <w:r>
        <w:t>User Stories · Ley 21.719</w:t>
      </w:r>
    </w:p>
    <w:p/>
    <w:p>
      <w:pPr>
        <w:jc w:val="center"/>
      </w:pPr>
      <w:r>
        <w:t>Versión: v1.13  ·  Fecha: 24/08/2026</w:t>
        <w:br/>
        <w:t>Ley 21.719 — Protección de Datos Personales de Chile</w:t>
      </w:r>
    </w:p>
    <w:p>
      <w:r>
        <w:br w:type="page"/>
      </w:r>
    </w:p>
    <w:p>
      <w:pPr>
        <w:pStyle w:val="Heading1"/>
      </w:pPr>
      <w:r>
        <w:t>1. Nuevas Historias de Usuario v1.13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Criterio de aceptación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RF</w:t>
            </w:r>
          </w:p>
        </w:tc>
      </w:tr>
      <w:tr>
        <w:tc>
          <w:tcPr>
            <w:tcW w:type="dxa" w:w="1440"/>
          </w:tcPr>
          <w:p>
            <w:r>
              <w:t>HU-104</w:t>
            </w:r>
          </w:p>
        </w:tc>
        <w:tc>
          <w:tcPr>
            <w:tcW w:type="dxa" w:w="1440"/>
          </w:tcPr>
          <w:p>
            <w:r>
              <w:t>Titular</w:t>
            </w:r>
          </w:p>
        </w:tc>
        <w:tc>
          <w:tcPr>
            <w:tcW w:type="dxa" w:w="1440"/>
          </w:tcPr>
          <w:p>
            <w:r>
              <w:t>Detección solicitud duplicada</w:t>
            </w:r>
          </w:p>
        </w:tc>
        <w:tc>
          <w:tcPr>
            <w:tcW w:type="dxa" w:w="1440"/>
          </w:tcPr>
          <w:p>
            <w:r>
              <w:t>Como titular, quiero saber si ya tengo una solicitud abierta antes de enviar otra, para no duplicar trámites innecesariamente.</w:t>
            </w:r>
          </w:p>
        </w:tc>
        <w:tc>
          <w:tcPr>
            <w:tcW w:type="dxa" w:w="1440"/>
          </w:tcPr>
          <w:p>
            <w:r>
              <w:t>Banner amarillo al ingresar email con ticket abierto. No bloquea el envío.</w:t>
            </w:r>
          </w:p>
        </w:tc>
        <w:tc>
          <w:tcPr>
            <w:tcW w:type="dxa" w:w="1440"/>
          </w:tcPr>
          <w:p>
            <w:r>
              <w:t>RF-174</w:t>
            </w:r>
          </w:p>
        </w:tc>
      </w:tr>
      <w:tr>
        <w:tc>
          <w:tcPr>
            <w:tcW w:type="dxa" w:w="1440"/>
          </w:tcPr>
          <w:p>
            <w:r>
              <w:t>HU-105</w:t>
            </w:r>
          </w:p>
        </w:tc>
        <w:tc>
          <w:tcPr>
            <w:tcW w:type="dxa" w:w="1440"/>
          </w:tcPr>
          <w:p>
            <w:r>
              <w:t>Titular</w:t>
            </w:r>
          </w:p>
        </w:tc>
        <w:tc>
          <w:tcPr>
            <w:tcW w:type="dxa" w:w="1440"/>
          </w:tcPr>
          <w:p>
            <w:r>
              <w:t>Acuse de recibo inmediato</w:t>
            </w:r>
          </w:p>
        </w:tc>
        <w:tc>
          <w:tcPr>
            <w:tcW w:type="dxa" w:w="1440"/>
          </w:tcPr>
          <w:p>
            <w:r>
              <w:t>Como titular, quiero recibir un email de confirmación al enviar mi solicitud ARCO, con el código de seguimiento y el plazo de respuesta.</w:t>
            </w:r>
          </w:p>
        </w:tc>
        <w:tc>
          <w:tcPr>
            <w:tcW w:type="dxa" w:w="1440"/>
          </w:tcPr>
          <w:p>
            <w:r>
              <w:t>Email enviado automáticamente dentro de los 5 minutos de creado el ticket.</w:t>
            </w:r>
          </w:p>
        </w:tc>
        <w:tc>
          <w:tcPr>
            <w:tcW w:type="dxa" w:w="1440"/>
          </w:tcPr>
          <w:p>
            <w:r>
              <w:t>RF-175</w:t>
            </w:r>
          </w:p>
        </w:tc>
      </w:tr>
      <w:tr>
        <w:tc>
          <w:tcPr>
            <w:tcW w:type="dxa" w:w="1440"/>
          </w:tcPr>
          <w:p>
            <w:r>
              <w:t>HU-106</w:t>
            </w:r>
          </w:p>
        </w:tc>
        <w:tc>
          <w:tcPr>
            <w:tcW w:type="dxa" w:w="1440"/>
          </w:tcPr>
          <w:p>
            <w:r>
              <w:t>Operador DPO</w:t>
            </w:r>
          </w:p>
        </w:tc>
        <w:tc>
          <w:tcPr>
            <w:tcW w:type="dxa" w:w="1440"/>
          </w:tcPr>
          <w:p>
            <w:r>
              <w:t>Placeholders en respuesta</w:t>
            </w:r>
          </w:p>
        </w:tc>
        <w:tc>
          <w:tcPr>
            <w:tcW w:type="dxa" w:w="1440"/>
          </w:tcPr>
          <w:p>
            <w:r>
              <w:t>Como operador DPO, quiero insertar variables dinámicas en la respuesta al titular con un clic, para redactar más rápido y con menos errores.</w:t>
            </w:r>
          </w:p>
        </w:tc>
        <w:tc>
          <w:tcPr>
            <w:tcW w:type="dxa" w:w="1440"/>
          </w:tcPr>
          <w:p>
            <w:r>
              <w:t>Chips de placeholders disponibles bajo el textarea de respuesta.</w:t>
            </w:r>
          </w:p>
        </w:tc>
        <w:tc>
          <w:tcPr>
            <w:tcW w:type="dxa" w:w="1440"/>
          </w:tcPr>
          <w:p>
            <w:r>
              <w:t>RF-176</w:t>
            </w:r>
          </w:p>
        </w:tc>
      </w:tr>
      <w:tr>
        <w:tc>
          <w:tcPr>
            <w:tcW w:type="dxa" w:w="1440"/>
          </w:tcPr>
          <w:p>
            <w:r>
              <w:t>HU-107</w:t>
            </w:r>
          </w:p>
        </w:tc>
        <w:tc>
          <w:tcPr>
            <w:tcW w:type="dxa" w:w="1440"/>
          </w:tcPr>
          <w:p>
            <w:r>
              <w:t>Operador DPO</w:t>
            </w:r>
          </w:p>
        </w:tc>
        <w:tc>
          <w:tcPr>
            <w:tcW w:type="dxa" w:w="1440"/>
          </w:tcPr>
          <w:p>
            <w:r>
              <w:t>Ver tiempos reales del ticket</w:t>
            </w:r>
          </w:p>
        </w:tc>
        <w:tc>
          <w:tcPr>
            <w:tcW w:type="dxa" w:w="1440"/>
          </w:tcPr>
          <w:p>
            <w:r>
              <w:t>Como operador DPO, quiero ver cuántos días hábiles lleva el ticket y cuántos quedan, para priorizar correctamente.</w:t>
            </w:r>
          </w:p>
        </w:tc>
        <w:tc>
          <w:tcPr>
            <w:tcW w:type="dxa" w:w="1440"/>
          </w:tcPr>
          <w:p>
            <w:r>
              <w:t>Banner con semáforo verde/amarillo/rojo en el modal de flujo.</w:t>
            </w:r>
          </w:p>
        </w:tc>
        <w:tc>
          <w:tcPr>
            <w:tcW w:type="dxa" w:w="1440"/>
          </w:tcPr>
          <w:p>
            <w:r>
              <w:t>RF-177</w:t>
            </w:r>
          </w:p>
        </w:tc>
      </w:tr>
      <w:tr>
        <w:tc>
          <w:tcPr>
            <w:tcW w:type="dxa" w:w="1440"/>
          </w:tcPr>
          <w:p>
            <w:r>
              <w:t>HU-108</w:t>
            </w:r>
          </w:p>
        </w:tc>
        <w:tc>
          <w:tcPr>
            <w:tcW w:type="dxa" w:w="1440"/>
          </w:tcPr>
          <w:p>
            <w:r>
              <w:t>Admin empresa</w:t>
            </w:r>
          </w:p>
        </w:tc>
        <w:tc>
          <w:tcPr>
            <w:tcW w:type="dxa" w:w="1440"/>
          </w:tcPr>
          <w:p>
            <w:r>
              <w:t>Ficha completa de empresa</w:t>
            </w:r>
          </w:p>
        </w:tc>
        <w:tc>
          <w:tcPr>
            <w:tcW w:type="dxa" w:w="1440"/>
          </w:tcPr>
          <w:p>
            <w:r>
              <w:t>Como administrador, quiero ver una ficha de empresa con todos sus módulos (RATs, ARCO, Brechas) en un solo lugar, para tener una visión consolidada.</w:t>
            </w:r>
          </w:p>
        </w:tc>
        <w:tc>
          <w:tcPr>
            <w:tcW w:type="dxa" w:w="1440"/>
          </w:tcPr>
          <w:p>
            <w:r>
              <w:t>Panel con 4 tabs de carga lazy en la página de empresas.</w:t>
            </w:r>
          </w:p>
        </w:tc>
        <w:tc>
          <w:tcPr>
            <w:tcW w:type="dxa" w:w="1440"/>
          </w:tcPr>
          <w:p>
            <w:r>
              <w:t>RF-178</w:t>
            </w:r>
          </w:p>
        </w:tc>
      </w:tr>
    </w:tbl>
    <w:p>
      <w:pPr>
        <w:pStyle w:val="Heading1"/>
      </w:pPr>
      <w:r>
        <w:t>2. Historias Anteriores Vigentes</w:t>
      </w:r>
    </w:p>
    <w:p>
      <w:r>
        <w:t>Las HU-001 a HU-103 documentadas en versiones anteriores permanecen vigentes.</w:t>
      </w:r>
    </w:p>
    <w:p>
      <w:r>
        <w:br w:type="page"/>
      </w:r>
    </w:p>
    <w:p>
      <w:pPr>
        <w:pStyle w:val="Heading1"/>
      </w:pPr>
      <w:r>
        <w:t>Historial de cambios — v1.13</w:t>
      </w:r>
    </w:p>
    <w:p>
      <w:r>
        <w:rPr>
          <w:b/>
        </w:rPr>
        <w:t>Versión v1.13 — 2026-09-06</w:t>
      </w:r>
    </w:p>
    <w:p>
      <w:r>
        <w:t>Este documento ha sido actualizado desde v1.12 para reflejar los fixes de seguridad, performance y documentación aplicados en la ronda de auditoría QA de septiembre 2026.</w:t>
      </w:r>
    </w:p>
    <w:p>
      <w:pPr>
        <w:pStyle w:val="Heading2"/>
      </w:pPr>
      <w:r>
        <w:t>Cambios incluidos en esta versión</w:t>
      </w:r>
    </w:p>
    <w:p>
      <w:pPr>
        <w:pStyle w:val="ListBullet"/>
      </w:pPr>
      <w:r>
        <w:rPr>
          <w:b/>
        </w:rPr>
        <w:t xml:space="preserve">Seguridad — RBAC Discovery: </w:t>
      </w:r>
      <w:r>
        <w:t>Endpoints de escritura en /discovery/ (POST sources, PATCH sources, DELETE sources, POST scan, POST scan/manual, PATCH findings/vincular-rat) ahora exigen rol 'editor' o 'admin' per-empresa. Un usuario con rol 'viewer' ya no puede crear fuentes de datos ni ejecutar escaneos.</w:t>
      </w:r>
    </w:p>
    <w:p>
      <w:pPr>
        <w:pStyle w:val="ListBullet"/>
      </w:pPr>
      <w:r>
        <w:rPr>
          <w:b/>
        </w:rPr>
        <w:t xml:space="preserve">Seguridad — RBAC EIPD: </w:t>
      </w:r>
      <w:r>
        <w:t>POST /eipd/ y PUT /eipd/{id} ahora exigen require_editor_or_admin_empresa. Un usuario con rol 'viewer' per-empresa ya no puede crear ni actualizar EIPDs.</w:t>
      </w:r>
    </w:p>
    <w:p>
      <w:pPr>
        <w:pStyle w:val="ListBullet"/>
      </w:pPr>
      <w:r>
        <w:rPr>
          <w:b/>
        </w:rPr>
        <w:t xml:space="preserve">Seguridad — RBAC Contratos de Encargado: </w:t>
      </w:r>
      <w:r>
        <w:t>POST /encargados-contrato/, PUT /encargados-contrato/{id} y DELETE /encargados-contrato/{id} ahora exigen require_editor_or_admin_empresa. 'viewer' ya no puede modificar contratos de encargado.</w:t>
      </w:r>
    </w:p>
    <w:p>
      <w:pPr>
        <w:pStyle w:val="ListBullet"/>
      </w:pPr>
      <w:r>
        <w:rPr>
          <w:b/>
        </w:rPr>
        <w:t xml:space="preserve">Performance — Límites de queries: </w:t>
      </w:r>
      <w:r>
        <w:t>Se agregaron .limit() a queries que podían retornar conjuntos no acotados: get_audit_logs → .limit(500); DiscoveryFinding queries → .limit(5000). Previene timeouts y degradación de memoria ante volúmenes grandes de datos.</w:t>
      </w:r>
    </w:p>
    <w:p>
      <w:pPr>
        <w:pStyle w:val="ListBullet"/>
      </w:pPr>
      <w:r>
        <w:rPr>
          <w:b/>
        </w:rPr>
        <w:t xml:space="preserve">Documentación — Discovery: </w:t>
      </w:r>
      <w:r>
        <w:t>Se agregó la sección Discovery &amp; Mapping a CLAUDE.md y a la tabla de endpoints de la API. Se documentó la tabla RBAC por módulo con las reglas canónicas de acceso.</w:t>
      </w:r>
    </w:p>
    <w:p>
      <w:pPr>
        <w:pStyle w:val="Heading2"/>
      </w:pPr>
      <w:r>
        <w:t>Cambios de versiones anteriores incorporados</w:t>
      </w:r>
    </w:p>
    <w:p>
      <w:pPr>
        <w:pStyle w:val="ListBullet"/>
      </w:pPr>
      <w:r>
        <w:rPr>
          <w:b/>
        </w:rPr>
        <w:t xml:space="preserve">Seguridad — RBAC Brechas: </w:t>
      </w:r>
      <w:r>
        <w:t>PUT /brechas/{id}, DELETE /brechas/{id} y POST /brechas/{id}/evaluar-riesgo bloquean rol 'usuario' global. require_module_enabled('BRECHAS') ahora se aplica también en POST/PUT/DELETE.</w:t>
      </w:r>
    </w:p>
    <w:p>
      <w:pPr>
        <w:pStyle w:val="ListBullet"/>
      </w:pPr>
      <w:r>
        <w:rPr>
          <w:b/>
        </w:rPr>
        <w:t xml:space="preserve">Seguridad — RBAC Consentimientos: </w:t>
      </w:r>
      <w:r>
        <w:t>POST /consentimientos/ y POST /consentimientos/{id}/revocar bloquean rol 'usuario' global.</w:t>
      </w:r>
    </w:p>
    <w:p>
      <w:pPr>
        <w:pStyle w:val="ListBullet"/>
      </w:pPr>
      <w:r>
        <w:rPr>
          <w:b/>
        </w:rPr>
        <w:t xml:space="preserve">Seguridad — RBAC TKT Notas: </w:t>
      </w:r>
      <w:r>
        <w:t>POST /tkt-solicitud-derecho/{id}/notas bloquea rol 'usuario' global.</w:t>
      </w:r>
    </w:p>
    <w:p>
      <w:pPr>
        <w:pStyle w:val="ListBullet"/>
      </w:pPr>
      <w:r>
        <w:rPr>
          <w:b/>
        </w:rPr>
        <w:t xml:space="preserve">Seguridad — IDOR Reglas de Asignación: </w:t>
      </w:r>
      <w:r>
        <w:t>PUT /tkt-reglas-asignacion/{id} validaba acceso a company_id original pero no al company_id destino. Un admin_empresa podía reasignar reglas a empresas de otras compañías. Corregido.</w:t>
      </w:r>
    </w:p>
    <w:p>
      <w:pPr>
        <w:pStyle w:val="ListBullet"/>
      </w:pPr>
      <w:r>
        <w:rPr>
          <w:b/>
        </w:rPr>
        <w:t xml:space="preserve">Seguridad — ARCO Público módulo deshabilitado: </w:t>
      </w:r>
      <w:r>
        <w:t>GET /publico/empresas filtraba por ARCO activo solo en memoria sin query eficiente (N+1). POST /publico/ejercer-derechos no verificaba el módulo ARCO. Ambos corregidos.</w:t>
      </w:r>
    </w:p>
    <w:p>
      <w:pPr>
        <w:pStyle w:val="ListBullet"/>
      </w:pPr>
      <w:r>
        <w:rPr>
          <w:b/>
        </w:rPr>
        <w:t xml:space="preserve">Seguridad — CSRF token field name: </w:t>
      </w:r>
      <w:r>
        <w:t>getCsrfToken() en frontend/lib/api.ts leía data.csrf_token (indefinido) en vez de data.token. El formulario ARCO público retornaba 403 en cada envío. Corregido.</w:t>
      </w:r>
    </w:p>
    <w:p>
      <w:pPr>
        <w:pStyle w:val="ListBullet"/>
      </w:pPr>
      <w:r>
        <w:rPr>
          <w:b/>
        </w:rPr>
        <w:t xml:space="preserve">Datos — _truthy(False): </w:t>
      </w:r>
      <w:r>
        <w:t>rat_calculations._truthy() no manejaba bool explícitamente; False retornaba True. Campos booleanos con default=False (datos_anonimizados, transferencia_nacional) se contaban como completados. Fix: if isinstance(value, bool): return value.</w:t>
      </w:r>
    </w:p>
    <w:p>
      <w:pPr>
        <w:pStyle w:val="ListBullet"/>
      </w:pPr>
      <w:r>
        <w:rPr>
          <w:b/>
        </w:rPr>
        <w:t xml:space="preserve">Datos — evidencia_respuesta_hash: </w:t>
      </w:r>
      <w:r>
        <w:t>El hash de integridad ARCO se computaba antes de aplicar respuesta_texto del PATCH entrante. Si el cliente enviaba estado=resuelto + respuesta_texto en un solo PATCH, el hash quedaba sobre cadena vacía. Fix: usar data.respuesta_texto or ticket.respuesta_texto al momento de hashear.</w:t>
      </w:r>
    </w:p>
    <w:p>
      <w:pPr>
        <w:pStyle w:val="ListBullet"/>
      </w:pPr>
      <w:r>
        <w:rPr>
          <w:b/>
        </w:rPr>
        <w:t xml:space="preserve">API — GET /eipd/{id} faltante: </w:t>
      </w:r>
      <w:r>
        <w:t>El servicio tenía get_eipd_by_id() pero no existía la ruta GET. Retornaba 405. Agregada con IDOR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