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4"/>
        </w:rPr>
        <w:t>Custodio RAT Manager</w:t>
      </w:r>
    </w:p>
    <w:p/>
    <w:p>
      <w:pPr>
        <w:pStyle w:val="Heading1"/>
        <w:jc w:val="center"/>
      </w:pPr>
      <w:r>
        <w:t>04 — Casos de Uso</w:t>
      </w:r>
    </w:p>
    <w:p>
      <w:pPr>
        <w:jc w:val="center"/>
      </w:pPr>
      <w:r>
        <w:t>Custodio RAT Manager · Ley 21.719</w:t>
      </w:r>
    </w:p>
    <w:p/>
    <w:p>
      <w:pPr>
        <w:jc w:val="center"/>
      </w:pPr>
      <w:r>
        <w:t>Versión: v1.13  ·  Fecha: 24/08/2026</w:t>
        <w:br/>
        <w:t>Ley 21.719 — Protección de Datos Personales de Chile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Este documento describe los casos de uso del sistema Custodio RAT Manager en versión v1.13. Cubre 30+ casos de uso incluyendo los nuevos módulos ARCO-QW5/6/7/8, Empresas-QW6 y la detección de titular repetido en el formulario público.</w:t>
      </w:r>
    </w:p>
    <w:p>
      <w:pPr>
        <w:pStyle w:val="Heading1"/>
      </w:pPr>
      <w:r>
        <w:t>1. Casos de Uso Nuevos en v1.13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440"/>
            <w:shd w:fill="1F497D" w:color="auto" w:val="clear"/>
          </w:tcPr>
          <w:p>
            <w:r>
              <w:rPr>
                <w:b/>
                <w:color w:val="FFFFFF"/>
              </w:rPr>
              <w:t>Artículo</w:t>
            </w:r>
          </w:p>
        </w:tc>
      </w:tr>
      <w:tr>
        <w:tc>
          <w:tcPr>
            <w:tcW w:type="dxa" w:w="1440"/>
          </w:tcPr>
          <w:p>
            <w:r>
              <w:t>CU-31</w:t>
            </w:r>
          </w:p>
        </w:tc>
        <w:tc>
          <w:tcPr>
            <w:tcW w:type="dxa" w:w="1440"/>
          </w:tcPr>
          <w:p>
            <w:r>
              <w:t>Detección de titular repetido</w:t>
            </w:r>
          </w:p>
        </w:tc>
        <w:tc>
          <w:tcPr>
            <w:tcW w:type="dxa" w:w="1440"/>
          </w:tcPr>
          <w:p>
            <w:r>
              <w:t>Formulario Público ARCO</w:t>
            </w:r>
          </w:p>
        </w:tc>
        <w:tc>
          <w:tcPr>
            <w:tcW w:type="dxa" w:w="1440"/>
          </w:tcPr>
          <w:p>
            <w:r>
              <w:t>Anónimo (titular)</w:t>
            </w:r>
          </w:p>
        </w:tc>
        <w:tc>
          <w:tcPr>
            <w:tcW w:type="dxa" w:w="1440"/>
          </w:tcPr>
          <w:p>
            <w:r>
              <w:t>El sistema verifica si el email del titular ya tiene tickets abiertos en la empresa seleccionada. Si existen, muestra banner amarillo de advertencia. El titular puede continuar de todos modos.</w:t>
            </w:r>
          </w:p>
        </w:tc>
        <w:tc>
          <w:tcPr>
            <w:tcW w:type="dxa" w:w="1440"/>
          </w:tcPr>
          <w:p>
            <w:r>
              <w:t>Art. 12 Ley 21.719</w:t>
            </w:r>
          </w:p>
        </w:tc>
      </w:tr>
      <w:tr>
        <w:tc>
          <w:tcPr>
            <w:tcW w:type="dxa" w:w="1440"/>
          </w:tcPr>
          <w:p>
            <w:r>
              <w:t>CU-32</w:t>
            </w:r>
          </w:p>
        </w:tc>
        <w:tc>
          <w:tcPr>
            <w:tcW w:type="dxa" w:w="1440"/>
          </w:tcPr>
          <w:p>
            <w:r>
              <w:t>Acuse de recibo automático ARCO</w:t>
            </w:r>
          </w:p>
        </w:tc>
        <w:tc>
          <w:tcPr>
            <w:tcW w:type="dxa" w:w="1440"/>
          </w:tcPr>
          <w:p>
            <w:r>
              <w:t>Módulo ARCO</w:t>
            </w:r>
          </w:p>
        </w:tc>
        <w:tc>
          <w:tcPr>
            <w:tcW w:type="dxa" w:w="1440"/>
          </w:tcPr>
          <w:p>
            <w:r>
              <w:t>Staff (editor+)</w:t>
            </w:r>
          </w:p>
        </w:tc>
        <w:tc>
          <w:tcPr>
            <w:tcW w:type="dxa" w:w="1440"/>
          </w:tcPr>
          <w:p>
            <w:r>
              <w:t>Al crear un ticket ARCO con email del titular, el sistema envía automáticamente un acuse de recibo con el tracking token y la fecha de vencimiento (10 días hábiles).</w:t>
            </w:r>
          </w:p>
        </w:tc>
        <w:tc>
          <w:tcPr>
            <w:tcW w:type="dxa" w:w="1440"/>
          </w:tcPr>
          <w:p>
            <w:r>
              <w:t>Art. 12 Ley 21.719</w:t>
            </w:r>
          </w:p>
        </w:tc>
      </w:tr>
      <w:tr>
        <w:tc>
          <w:tcPr>
            <w:tcW w:type="dxa" w:w="1440"/>
          </w:tcPr>
          <w:p>
            <w:r>
              <w:t>CU-33</w:t>
            </w:r>
          </w:p>
        </w:tc>
        <w:tc>
          <w:tcPr>
            <w:tcW w:type="dxa" w:w="1440"/>
          </w:tcPr>
          <w:p>
            <w:r>
              <w:t>Insertar placeholders en respuesta</w:t>
            </w:r>
          </w:p>
        </w:tc>
        <w:tc>
          <w:tcPr>
            <w:tcW w:type="dxa" w:w="1440"/>
          </w:tcPr>
          <w:p>
            <w:r>
              <w:t>Módulo ARCO</w:t>
            </w:r>
          </w:p>
        </w:tc>
        <w:tc>
          <w:tcPr>
            <w:tcW w:type="dxa" w:w="1440"/>
          </w:tcPr>
          <w:p>
            <w:r>
              <w:t>Staff (editor+)</w:t>
            </w:r>
          </w:p>
        </w:tc>
        <w:tc>
          <w:tcPr>
            <w:tcW w:type="dxa" w:w="1440"/>
          </w:tcPr>
          <w:p>
            <w:r>
              <w:t>El operador redacta la respuesta al titular. Chips de placeholders dinámicos permiten insertar {{nombre_titular}}, {{empresa}}, {{fecha}}, {{numero_solicitud}}, {{dias_bloqueo}}, {{fecha_vencimiento}} con un clic.</w:t>
            </w:r>
          </w:p>
        </w:tc>
        <w:tc>
          <w:tcPr>
            <w:tcW w:type="dxa" w:w="1440"/>
          </w:tcPr>
          <w:p>
            <w:r>
              <w:t>Usabilidad</w:t>
            </w:r>
          </w:p>
        </w:tc>
      </w:tr>
      <w:tr>
        <w:tc>
          <w:tcPr>
            <w:tcW w:type="dxa" w:w="1440"/>
          </w:tcPr>
          <w:p>
            <w:r>
              <w:t>CU-34</w:t>
            </w:r>
          </w:p>
        </w:tc>
        <w:tc>
          <w:tcPr>
            <w:tcW w:type="dxa" w:w="1440"/>
          </w:tcPr>
          <w:p>
            <w:r>
              <w:t>Ver flujo ARCO con tiempos reales</w:t>
            </w:r>
          </w:p>
        </w:tc>
        <w:tc>
          <w:tcPr>
            <w:tcW w:type="dxa" w:w="1440"/>
          </w:tcPr>
          <w:p>
            <w:r>
              <w:t>Módulo ARCO</w:t>
            </w:r>
          </w:p>
        </w:tc>
        <w:tc>
          <w:tcPr>
            <w:tcW w:type="dxa" w:w="1440"/>
          </w:tcPr>
          <w:p>
            <w:r>
              <w:t>Staff (editor+)</w:t>
            </w:r>
          </w:p>
        </w:tc>
        <w:tc>
          <w:tcPr>
            <w:tcW w:type="dxa" w:w="1440"/>
          </w:tcPr>
          <w:p>
            <w:r>
              <w:t>El modal de flujo muestra el estado actual del ticket junto con días hábiles consumidos, días restantes y un semáforo de color (verde/amarillo/rojo) según el SLA.</w:t>
            </w:r>
          </w:p>
        </w:tc>
        <w:tc>
          <w:tcPr>
            <w:tcW w:type="dxa" w:w="1440"/>
          </w:tcPr>
          <w:p>
            <w:r>
              <w:t>Art. 12 Ley 21.719</w:t>
            </w:r>
          </w:p>
        </w:tc>
      </w:tr>
      <w:tr>
        <w:tc>
          <w:tcPr>
            <w:tcW w:type="dxa" w:w="1440"/>
          </w:tcPr>
          <w:p>
            <w:r>
              <w:t>CU-35</w:t>
            </w:r>
          </w:p>
        </w:tc>
        <w:tc>
          <w:tcPr>
            <w:tcW w:type="dxa" w:w="1440"/>
          </w:tcPr>
          <w:p>
            <w:r>
              <w:t>Ficha de empresa (tabs)</w:t>
            </w:r>
          </w:p>
        </w:tc>
        <w:tc>
          <w:tcPr>
            <w:tcW w:type="dxa" w:w="1440"/>
          </w:tcPr>
          <w:p>
            <w:r>
              <w:t>Módulo Empresas</w:t>
            </w:r>
          </w:p>
        </w:tc>
        <w:tc>
          <w:tcPr>
            <w:tcW w:type="dxa" w:w="1440"/>
          </w:tcPr>
          <w:p>
            <w:r>
              <w:t>Staff (cualquier rol)</w:t>
            </w:r>
          </w:p>
        </w:tc>
        <w:tc>
          <w:tcPr>
            <w:tcW w:type="dxa" w:w="1440"/>
          </w:tcPr>
          <w:p>
            <w:r>
              <w:t>Al hacer clic en 'Ficha' de una empresa, se despliega un panel con 4 tabs: Datos (edición), RATs (listado), ARCO (tickets), Brechas. Carga lazy por tab.</w:t>
            </w:r>
          </w:p>
        </w:tc>
        <w:tc>
          <w:tcPr>
            <w:tcW w:type="dxa" w:w="1440"/>
          </w:tcPr>
          <w:p>
            <w:r>
              <w:t>Art. 16 Ley 21.719</w:t>
            </w:r>
          </w:p>
        </w:tc>
      </w:tr>
    </w:tbl>
    <w:p>
      <w:pPr>
        <w:pStyle w:val="Heading1"/>
      </w:pPr>
      <w:r>
        <w:t>2. Casos de Uso Existentes (referencia)</w:t>
      </w:r>
    </w:p>
    <w:p>
      <w:r>
        <w:t>Los siguientes CUs fueron documentados en versiones anteriores y permanecen vigentes. Ver 04_Casos_de_Uso_v1.10.docx para detalle completo.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Rango</w:t>
            </w:r>
          </w:p>
        </w:tc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CU-01 a CU-06</w:t>
            </w:r>
          </w:p>
        </w:tc>
        <w:tc>
          <w:tcPr>
            <w:tcW w:type="dxa" w:w="4320"/>
          </w:tcPr>
          <w:p>
            <w:r>
              <w:t>Onboarding y Gestión de Empresas</w:t>
            </w:r>
          </w:p>
        </w:tc>
      </w:tr>
      <w:tr>
        <w:tc>
          <w:tcPr>
            <w:tcW w:type="dxa" w:w="4320"/>
          </w:tcPr>
          <w:p>
            <w:r>
              <w:t>CU-07 a CU-14</w:t>
            </w:r>
          </w:p>
        </w:tc>
        <w:tc>
          <w:tcPr>
            <w:tcW w:type="dxa" w:w="4320"/>
          </w:tcPr>
          <w:p>
            <w:r>
              <w:t>CRUD RAT (crear, editar, aprobar, duplicar, exportar)</w:t>
            </w:r>
          </w:p>
        </w:tc>
      </w:tr>
      <w:tr>
        <w:tc>
          <w:tcPr>
            <w:tcW w:type="dxa" w:w="4320"/>
          </w:tcPr>
          <w:p>
            <w:r>
              <w:t>CU-15 a CU-18</w:t>
            </w:r>
          </w:p>
        </w:tc>
        <w:tc>
          <w:tcPr>
            <w:tcW w:type="dxa" w:w="4320"/>
          </w:tcPr>
          <w:p>
            <w:r>
              <w:t>Brechas de Seguridad (Art. 14 bis)</w:t>
            </w:r>
          </w:p>
        </w:tc>
      </w:tr>
      <w:tr>
        <w:tc>
          <w:tcPr>
            <w:tcW w:type="dxa" w:w="4320"/>
          </w:tcPr>
          <w:p>
            <w:r>
              <w:t>CU-19 a CU-22</w:t>
            </w:r>
          </w:p>
        </w:tc>
        <w:tc>
          <w:tcPr>
            <w:tcW w:type="dxa" w:w="4320"/>
          </w:tcPr>
          <w:p>
            <w:r>
              <w:t>Consentimientos (Art. 12)</w:t>
            </w:r>
          </w:p>
        </w:tc>
      </w:tr>
      <w:tr>
        <w:tc>
          <w:tcPr>
            <w:tcW w:type="dxa" w:w="4320"/>
          </w:tcPr>
          <w:p>
            <w:r>
              <w:t>CU-23 a CU-26</w:t>
            </w:r>
          </w:p>
        </w:tc>
        <w:tc>
          <w:tcPr>
            <w:tcW w:type="dxa" w:w="4320"/>
          </w:tcPr>
          <w:p>
            <w:r>
              <w:t>EIPD (Art. 15 bis)</w:t>
            </w:r>
          </w:p>
        </w:tc>
      </w:tr>
      <w:tr>
        <w:tc>
          <w:tcPr>
            <w:tcW w:type="dxa" w:w="4320"/>
          </w:tcPr>
          <w:p>
            <w:r>
              <w:t>CU-27 a CU-30</w:t>
            </w:r>
          </w:p>
        </w:tc>
        <w:tc>
          <w:tcPr>
            <w:tcW w:type="dxa" w:w="4320"/>
          </w:tcPr>
          <w:p>
            <w:r>
              <w:t>Formulario Público ARCO y Seguimiento</w:t>
            </w:r>
          </w:p>
        </w:tc>
      </w:tr>
    </w:tbl>
    <w:p>
      <w:pPr>
        <w:pStyle w:val="Heading1"/>
      </w:pPr>
      <w:r>
        <w:t>3. Flujo Principal — CU-31: Detección Titular Repetido</w:t>
      </w:r>
    </w:p>
    <w:p>
      <w:r>
        <w:t>Precondición: el titular está en el Paso 1 del formulario público con empresa ya seleccionada.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4320"/>
            <w:shd w:fill="1F497D" w:color="auto" w:val="clear"/>
          </w:tcPr>
          <w:p>
            <w:r>
              <w:rPr>
                <w:b/>
                <w:color w:val="FFFFFF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El titular ingresa su email en el campo correspondiente.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Al salir del campo (onBlur), el frontend llama GET /publico/verificar-titular?company_id=X&amp;email=Y.</w:t>
            </w:r>
          </w:p>
        </w:tc>
      </w:tr>
      <w:tr>
        <w:tc>
          <w:tcPr>
            <w:tcW w:type="dxa" w:w="4320"/>
          </w:tcPr>
          <w:p>
            <w:r>
              <w:t>3a</w:t>
            </w:r>
          </w:p>
        </w:tc>
        <w:tc>
          <w:tcPr>
            <w:tcW w:type="dxa" w:w="4320"/>
          </w:tcPr>
          <w:p>
            <w:r>
              <w:t>Si {tiene_tickets_abiertos: false} → no ocurre nada, flujo normal.</w:t>
            </w:r>
          </w:p>
        </w:tc>
      </w:tr>
      <w:tr>
        <w:tc>
          <w:tcPr>
            <w:tcW w:type="dxa" w:w="4320"/>
          </w:tcPr>
          <w:p>
            <w:r>
              <w:t>3b</w:t>
            </w:r>
          </w:p>
        </w:tc>
        <w:tc>
          <w:tcPr>
            <w:tcW w:type="dxa" w:w="4320"/>
          </w:tcPr>
          <w:p>
            <w:r>
              <w:t>Si {tiene_tickets_abiertos: true, cantidad: N} → aparece banner amarillo advirtiendo N ticket(s) abierto(s).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El titular puede continuar de todos modos (el banner no bloquea).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Si el titular decide continuar, avanza al Paso 2 normalmente.</w:t>
            </w:r>
          </w:p>
        </w:tc>
      </w:tr>
    </w:tbl>
    <w:p>
      <w:r>
        <w:br w:type="page"/>
      </w:r>
    </w:p>
    <w:p>
      <w:pPr>
        <w:pStyle w:val="Heading1"/>
      </w:pPr>
      <w:r>
        <w:t>Historial de cambios — v1.13</w:t>
      </w:r>
    </w:p>
    <w:p>
      <w:r>
        <w:rPr>
          <w:b/>
        </w:rPr>
        <w:t>Versión v1.13 — 2026-09-06</w:t>
      </w:r>
    </w:p>
    <w:p>
      <w:r>
        <w:t>Este documento ha sido actualizado desde v1.12 para reflejar los fixes de seguridad, performance y documentación aplicados en la ronda de auditoría QA de septiembre 2026.</w:t>
      </w:r>
    </w:p>
    <w:p>
      <w:pPr>
        <w:pStyle w:val="Heading2"/>
      </w:pPr>
      <w:r>
        <w:t>Cambios incluidos en esta versión</w:t>
      </w:r>
    </w:p>
    <w:p>
      <w:pPr>
        <w:pStyle w:val="ListBullet"/>
      </w:pPr>
      <w:r>
        <w:rPr>
          <w:b/>
        </w:rPr>
        <w:t xml:space="preserve">Seguridad — RBAC Discovery: </w:t>
      </w:r>
      <w:r>
        <w:t>Endpoints de escritura en /discovery/ (POST sources, PATCH sources, DELETE sources, POST scan, POST scan/manual, PATCH findings/vincular-rat) ahora exigen rol 'editor' o 'admin' per-empresa. Un usuario con rol 'viewer' ya no puede crear fuentes de datos ni ejecutar escaneos.</w:t>
      </w:r>
    </w:p>
    <w:p>
      <w:pPr>
        <w:pStyle w:val="ListBullet"/>
      </w:pPr>
      <w:r>
        <w:rPr>
          <w:b/>
        </w:rPr>
        <w:t xml:space="preserve">Seguridad — RBAC EIPD: </w:t>
      </w:r>
      <w:r>
        <w:t>POST /eipd/ y PUT /eipd/{id} ahora exigen require_editor_or_admin_empresa. Un usuario con rol 'viewer' per-empresa ya no puede crear ni actualizar EIPDs.</w:t>
      </w:r>
    </w:p>
    <w:p>
      <w:pPr>
        <w:pStyle w:val="ListBullet"/>
      </w:pPr>
      <w:r>
        <w:rPr>
          <w:b/>
        </w:rPr>
        <w:t xml:space="preserve">Seguridad — RBAC Contratos de Encargado: </w:t>
      </w:r>
      <w:r>
        <w:t>POST /encargados-contrato/, PUT /encargados-contrato/{id} y DELETE /encargados-contrato/{id} ahora exigen require_editor_or_admin_empresa. 'viewer' ya no puede modificar contratos de encargado.</w:t>
      </w:r>
    </w:p>
    <w:p>
      <w:pPr>
        <w:pStyle w:val="ListBullet"/>
      </w:pPr>
      <w:r>
        <w:rPr>
          <w:b/>
        </w:rPr>
        <w:t xml:space="preserve">Performance — Límites de queries: </w:t>
      </w:r>
      <w:r>
        <w:t>Se agregaron .limit() a queries que podían retornar conjuntos no acotados: get_audit_logs → .limit(500); DiscoveryFinding queries → .limit(5000). Previene timeouts y degradación de memoria ante volúmenes grandes de datos.</w:t>
      </w:r>
    </w:p>
    <w:p>
      <w:pPr>
        <w:pStyle w:val="ListBullet"/>
      </w:pPr>
      <w:r>
        <w:rPr>
          <w:b/>
        </w:rPr>
        <w:t xml:space="preserve">Documentación — Discovery: </w:t>
      </w:r>
      <w:r>
        <w:t>Se agregó la sección Discovery &amp; Mapping a CLAUDE.md y a la tabla de endpoints de la API. Se documentó la tabla RBAC por módulo con las reglas canónicas de acceso.</w:t>
      </w:r>
    </w:p>
    <w:p>
      <w:pPr>
        <w:pStyle w:val="Heading2"/>
      </w:pPr>
      <w:r>
        <w:t>Cambios de versiones anteriores incorporados</w:t>
      </w:r>
    </w:p>
    <w:p>
      <w:pPr>
        <w:pStyle w:val="ListBullet"/>
      </w:pPr>
      <w:r>
        <w:rPr>
          <w:b/>
        </w:rPr>
        <w:t xml:space="preserve">Seguridad — RBAC Brechas: </w:t>
      </w:r>
      <w:r>
        <w:t>PUT /brechas/{id}, DELETE /brechas/{id} y POST /brechas/{id}/evaluar-riesgo bloquean rol 'usuario' global. require_module_enabled('BRECHAS') ahora se aplica también en POST/PUT/DELETE.</w:t>
      </w:r>
    </w:p>
    <w:p>
      <w:pPr>
        <w:pStyle w:val="ListBullet"/>
      </w:pPr>
      <w:r>
        <w:rPr>
          <w:b/>
        </w:rPr>
        <w:t xml:space="preserve">Seguridad — RBAC Consentimientos: </w:t>
      </w:r>
      <w:r>
        <w:t>POST /consentimientos/ y POST /consentimientos/{id}/revocar bloquean rol 'usuario' global.</w:t>
      </w:r>
    </w:p>
    <w:p>
      <w:pPr>
        <w:pStyle w:val="ListBullet"/>
      </w:pPr>
      <w:r>
        <w:rPr>
          <w:b/>
        </w:rPr>
        <w:t xml:space="preserve">Seguridad — RBAC TKT Notas: </w:t>
      </w:r>
      <w:r>
        <w:t>POST /tkt-solicitud-derecho/{id}/notas bloquea rol 'usuario' global.</w:t>
      </w:r>
    </w:p>
    <w:p>
      <w:pPr>
        <w:pStyle w:val="ListBullet"/>
      </w:pPr>
      <w:r>
        <w:rPr>
          <w:b/>
        </w:rPr>
        <w:t xml:space="preserve">Seguridad — IDOR Reglas de Asignación: </w:t>
      </w:r>
      <w:r>
        <w:t>PUT /tkt-reglas-asignacion/{id} validaba acceso a company_id original pero no al company_id destino. Un admin_empresa podía reasignar reglas a empresas de otras compañías. Corregido.</w:t>
      </w:r>
    </w:p>
    <w:p>
      <w:pPr>
        <w:pStyle w:val="ListBullet"/>
      </w:pPr>
      <w:r>
        <w:rPr>
          <w:b/>
        </w:rPr>
        <w:t xml:space="preserve">Seguridad — ARCO Público módulo deshabilitado: </w:t>
      </w:r>
      <w:r>
        <w:t>GET /publico/empresas filtraba por ARCO activo solo en memoria sin query eficiente (N+1). POST /publico/ejercer-derechos no verificaba el módulo ARCO. Ambos corregidos.</w:t>
      </w:r>
    </w:p>
    <w:p>
      <w:pPr>
        <w:pStyle w:val="ListBullet"/>
      </w:pPr>
      <w:r>
        <w:rPr>
          <w:b/>
        </w:rPr>
        <w:t xml:space="preserve">Seguridad — CSRF token field name: </w:t>
      </w:r>
      <w:r>
        <w:t>getCsrfToken() en frontend/lib/api.ts leía data.csrf_token (indefinido) en vez de data.token. El formulario ARCO público retornaba 403 en cada envío. Corregido.</w:t>
      </w:r>
    </w:p>
    <w:p>
      <w:pPr>
        <w:pStyle w:val="ListBullet"/>
      </w:pPr>
      <w:r>
        <w:rPr>
          <w:b/>
        </w:rPr>
        <w:t xml:space="preserve">Datos — _truthy(False): </w:t>
      </w:r>
      <w:r>
        <w:t>rat_calculations._truthy() no manejaba bool explícitamente; False retornaba True. Campos booleanos con default=False (datos_anonimizados, transferencia_nacional) se contaban como completados. Fix: if isinstance(value, bool): return value.</w:t>
      </w:r>
    </w:p>
    <w:p>
      <w:pPr>
        <w:pStyle w:val="ListBullet"/>
      </w:pPr>
      <w:r>
        <w:rPr>
          <w:b/>
        </w:rPr>
        <w:t xml:space="preserve">Datos — evidencia_respuesta_hash: </w:t>
      </w:r>
      <w:r>
        <w:t>El hash de integridad ARCO se computaba antes de aplicar respuesta_texto del PATCH entrante. Si el cliente enviaba estado=resuelto + respuesta_texto en un solo PATCH, el hash quedaba sobre cadena vacía. Fix: usar data.respuesta_texto or ticket.respuesta_texto al momento de hashear.</w:t>
      </w:r>
    </w:p>
    <w:p>
      <w:pPr>
        <w:pStyle w:val="ListBullet"/>
      </w:pPr>
      <w:r>
        <w:rPr>
          <w:b/>
        </w:rPr>
        <w:t xml:space="preserve">API — GET /eipd/{id} faltante: </w:t>
      </w:r>
      <w:r>
        <w:t>El servicio tenía get_eipd_by_id() pero no existía la ruta GET. Retornaba 405. Agregada con IDOR check.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