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10 — Plan de QA</w:t>
      </w:r>
    </w:p>
    <w:p>
      <w:pPr>
        <w:jc w:val="center"/>
      </w:pPr>
      <w:r>
        <w:t>Suite de pruebas · 24/08/2026</w:t>
      </w:r>
    </w:p>
    <w:p/>
    <w:p>
      <w:pPr>
        <w:jc w:val="center"/>
      </w:pPr>
      <w:r>
        <w:t>Versión: v1.13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1. Métricas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Tests backend (pytest)</w:t>
            </w:r>
          </w:p>
        </w:tc>
        <w:tc>
          <w:tcPr>
            <w:tcW w:type="dxa" w:w="2880"/>
          </w:tcPr>
          <w:p>
            <w:r>
              <w:t>761+</w:t>
            </w:r>
          </w:p>
        </w:tc>
        <w:tc>
          <w:tcPr>
            <w:tcW w:type="dxa" w:w="2880"/>
          </w:tcPr>
          <w:p>
            <w:r>
              <w:t>Neon QA (custodio_test)</w:t>
            </w:r>
          </w:p>
        </w:tc>
      </w:tr>
      <w:tr>
        <w:tc>
          <w:tcPr>
            <w:tcW w:type="dxa" w:w="2880"/>
          </w:tcPr>
          <w:p>
            <w:r>
              <w:t>Tests frontend (vitest)</w:t>
            </w:r>
          </w:p>
        </w:tc>
        <w:tc>
          <w:tcPr>
            <w:tcW w:type="dxa" w:w="2880"/>
          </w:tcPr>
          <w:p>
            <w:r>
              <w:t>Incluidos en CI</w:t>
            </w:r>
          </w:p>
        </w:tc>
        <w:tc>
          <w:tcPr>
            <w:tcW w:type="dxa" w:w="2880"/>
          </w:tcPr>
          <w:p>
            <w:r>
              <w:t>vitest 3, excluye e2e/</w:t>
            </w:r>
          </w:p>
        </w:tc>
      </w:tr>
      <w:tr>
        <w:tc>
          <w:tcPr>
            <w:tcW w:type="dxa" w:w="2880"/>
          </w:tcPr>
          <w:p>
            <w:r>
              <w:t>Tests E2E (Playwright)</w:t>
            </w:r>
          </w:p>
        </w:tc>
        <w:tc>
          <w:tcPr>
            <w:tcW w:type="dxa" w:w="2880"/>
          </w:tcPr>
          <w:p>
            <w:r>
              <w:t>Ejecutados por separado</w:t>
            </w:r>
          </w:p>
        </w:tc>
        <w:tc>
          <w:tcPr>
            <w:tcW w:type="dxa" w:w="2880"/>
          </w:tcPr>
          <w:p>
            <w:r>
              <w:t>playwright.config.ts</w:t>
            </w:r>
          </w:p>
        </w:tc>
      </w:tr>
      <w:tr>
        <w:tc>
          <w:tcPr>
            <w:tcW w:type="dxa" w:w="2880"/>
          </w:tcPr>
          <w:p>
            <w:r>
              <w:t>Cobertura backend</w:t>
            </w:r>
          </w:p>
        </w:tc>
        <w:tc>
          <w:tcPr>
            <w:tcW w:type="dxa" w:w="2880"/>
          </w:tcPr>
          <w:p>
            <w:r>
              <w:t>Reportada via codecov</w:t>
            </w:r>
          </w:p>
        </w:tc>
        <w:tc>
          <w:tcPr>
            <w:tcW w:type="dxa" w:w="2880"/>
          </w:tcPr>
          <w:p>
            <w:r>
              <w:t>coverage.xml</w:t>
            </w:r>
          </w:p>
        </w:tc>
      </w:tr>
      <w:tr>
        <w:tc>
          <w:tcPr>
            <w:tcW w:type="dxa" w:w="2880"/>
          </w:tcPr>
          <w:p>
            <w:r>
              <w:t>Cobertura frontend</w:t>
            </w:r>
          </w:p>
        </w:tc>
        <w:tc>
          <w:tcPr>
            <w:tcW w:type="dxa" w:w="2880"/>
          </w:tcPr>
          <w:p>
            <w:r>
              <w:t>Reportada via codecov</w:t>
            </w:r>
          </w:p>
        </w:tc>
        <w:tc>
          <w:tcPr>
            <w:tcW w:type="dxa" w:w="2880"/>
          </w:tcPr>
          <w:p>
            <w:r>
              <w:t>lcov.info</w:t>
            </w:r>
          </w:p>
        </w:tc>
      </w:tr>
      <w:tr>
        <w:tc>
          <w:tcPr>
            <w:tcW w:type="dxa" w:w="2880"/>
          </w:tcPr>
          <w:p>
            <w:r>
              <w:t>Fallos en suite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Post-QA total 2026-08-22 (78 → 0)</w:t>
            </w:r>
          </w:p>
        </w:tc>
      </w:tr>
    </w:tbl>
    <w:p>
      <w:pPr>
        <w:pStyle w:val="Heading1"/>
      </w:pPr>
      <w:r>
        <w:t>2. Nuevos Casos de Prueba v1.13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</w:rPr>
              <w:t>Descripción / Expectativa</w:t>
            </w:r>
          </w:p>
        </w:tc>
      </w:tr>
      <w:tr>
        <w:tc>
          <w:tcPr>
            <w:tcW w:type="dxa" w:w="2880"/>
          </w:tcPr>
          <w:p>
            <w:r>
              <w:t>TC-056</w:t>
            </w:r>
          </w:p>
        </w:tc>
        <w:tc>
          <w:tcPr>
            <w:tcW w:type="dxa" w:w="2880"/>
          </w:tcPr>
          <w:p>
            <w:r>
              <w:t>QW5 titular nuevo</w:t>
            </w:r>
          </w:p>
        </w:tc>
        <w:tc>
          <w:tcPr>
            <w:tcW w:type="dxa" w:w="2880"/>
          </w:tcPr>
          <w:p>
            <w:r>
              <w:t>GET /publico/verificar-titular con email sin tickets → tiene_tickets_abiertos=false</w:t>
            </w:r>
          </w:p>
        </w:tc>
      </w:tr>
      <w:tr>
        <w:tc>
          <w:tcPr>
            <w:tcW w:type="dxa" w:w="2880"/>
          </w:tcPr>
          <w:p>
            <w:r>
              <w:t>TC-057</w:t>
            </w:r>
          </w:p>
        </w:tc>
        <w:tc>
          <w:tcPr>
            <w:tcW w:type="dxa" w:w="2880"/>
          </w:tcPr>
          <w:p>
            <w:r>
              <w:t>QW5 titular repetido</w:t>
            </w:r>
          </w:p>
        </w:tc>
        <w:tc>
          <w:tcPr>
            <w:tcW w:type="dxa" w:w="2880"/>
          </w:tcPr>
          <w:p>
            <w:r>
              <w:t>GET /publico/verificar-titular con email con ticket abierto → tiene_tickets_abiertos=true, cantidad&gt;=1</w:t>
            </w:r>
          </w:p>
        </w:tc>
      </w:tr>
      <w:tr>
        <w:tc>
          <w:tcPr>
            <w:tcW w:type="dxa" w:w="2880"/>
          </w:tcPr>
          <w:p>
            <w:r>
              <w:t>TC-058</w:t>
            </w:r>
          </w:p>
        </w:tc>
        <w:tc>
          <w:tcPr>
            <w:tcW w:type="dxa" w:w="2880"/>
          </w:tcPr>
          <w:p>
            <w:r>
              <w:t>QW5 titular cerrado</w:t>
            </w:r>
          </w:p>
        </w:tc>
        <w:tc>
          <w:tcPr>
            <w:tcW w:type="dxa" w:w="2880"/>
          </w:tcPr>
          <w:p>
            <w:r>
              <w:t>GET /publico/verificar-titular con email solo con ticket resuelto → tiene_tickets_abiertos=false</w:t>
            </w:r>
          </w:p>
        </w:tc>
      </w:tr>
      <w:tr>
        <w:tc>
          <w:tcPr>
            <w:tcW w:type="dxa" w:w="2880"/>
          </w:tcPr>
          <w:p>
            <w:r>
              <w:t>TC-059</w:t>
            </w:r>
          </w:p>
        </w:tc>
        <w:tc>
          <w:tcPr>
            <w:tcW w:type="dxa" w:w="2880"/>
          </w:tcPr>
          <w:p>
            <w:r>
              <w:t>QW5 rate limit</w:t>
            </w:r>
          </w:p>
        </w:tc>
        <w:tc>
          <w:tcPr>
            <w:tcW w:type="dxa" w:w="2880"/>
          </w:tcPr>
          <w:p>
            <w:r>
              <w:t>21 llamadas en 1 minuto desde misma IP → respuesta 429</w:t>
            </w:r>
          </w:p>
        </w:tc>
      </w:tr>
      <w:tr>
        <w:tc>
          <w:tcPr>
            <w:tcW w:type="dxa" w:w="2880"/>
          </w:tcPr>
          <w:p>
            <w:r>
              <w:t>TC-060</w:t>
            </w:r>
          </w:p>
        </w:tc>
        <w:tc>
          <w:tcPr>
            <w:tcW w:type="dxa" w:w="2880"/>
          </w:tcPr>
          <w:p>
            <w:r>
              <w:t>ARCO-QW6 acuse email</w:t>
            </w:r>
          </w:p>
        </w:tc>
        <w:tc>
          <w:tcPr>
            <w:tcW w:type="dxa" w:w="2880"/>
          </w:tcPr>
          <w:p>
            <w:r>
              <w:t>POST ticket con titular_email → acuse_enviado_at se popula en BD</w:t>
            </w:r>
          </w:p>
        </w:tc>
      </w:tr>
      <w:tr>
        <w:tc>
          <w:tcPr>
            <w:tcW w:type="dxa" w:w="2880"/>
          </w:tcPr>
          <w:p>
            <w:r>
              <w:t>TC-061</w:t>
            </w:r>
          </w:p>
        </w:tc>
        <w:tc>
          <w:tcPr>
            <w:tcW w:type="dxa" w:w="2880"/>
          </w:tcPr>
          <w:p>
            <w:r>
              <w:t>ARCO-QW6 sin email</w:t>
            </w:r>
          </w:p>
        </w:tc>
        <w:tc>
          <w:tcPr>
            <w:tcW w:type="dxa" w:w="2880"/>
          </w:tcPr>
          <w:p>
            <w:r>
              <w:t>POST ticket sin titular_email → no error, acuse_enviado_at=null</w:t>
            </w:r>
          </w:p>
        </w:tc>
      </w:tr>
      <w:tr>
        <w:tc>
          <w:tcPr>
            <w:tcW w:type="dxa" w:w="2880"/>
          </w:tcPr>
          <w:p>
            <w:r>
              <w:t>TC-062</w:t>
            </w:r>
          </w:p>
        </w:tc>
        <w:tc>
          <w:tcPr>
            <w:tcW w:type="dxa" w:w="2880"/>
          </w:tcPr>
          <w:p>
            <w:r>
              <w:t>Empresas-QW6 tab RATs</w:t>
            </w:r>
          </w:p>
        </w:tc>
        <w:tc>
          <w:tcPr>
            <w:tcW w:type="dxa" w:w="2880"/>
          </w:tcPr>
          <w:p>
            <w:r>
              <w:t>GET /rats/?company_id=X desde CompanyFichaPanel → retorna RATs de la empresa</w:t>
            </w:r>
          </w:p>
        </w:tc>
      </w:tr>
      <w:tr>
        <w:tc>
          <w:tcPr>
            <w:tcW w:type="dxa" w:w="2880"/>
          </w:tcPr>
          <w:p>
            <w:r>
              <w:t>TC-063</w:t>
            </w:r>
          </w:p>
        </w:tc>
        <w:tc>
          <w:tcPr>
            <w:tcW w:type="dxa" w:w="2880"/>
          </w:tcPr>
          <w:p>
            <w:r>
              <w:t>APDP nomenclatura</w:t>
            </w:r>
          </w:p>
        </w:tc>
        <w:tc>
          <w:tcPr>
            <w:tcW w:type="dxa" w:w="2880"/>
          </w:tcPr>
          <w:p>
            <w:r>
              <w:t>GET /rats/export/cni → título contiene 'APDP' (no 'APDC')</w:t>
            </w:r>
          </w:p>
        </w:tc>
      </w:tr>
    </w:tbl>
    <w:p>
      <w:pPr>
        <w:pStyle w:val="Heading1"/>
      </w:pPr>
      <w:r>
        <w:t>3. Configuración CI/CD</w:t>
      </w:r>
    </w:p>
    <w:p>
      <w:r>
        <w:t>El pipeline 'Tests + Coverage' corre en GitHub Actions en cada push a main/qa/develop.</w:t>
        <w:br/>
        <w:br/>
        <w:t>Variables de entorno requeridas en GitHub Secrets:</w:t>
        <w:br/>
        <w:t>• TEST_DATABASE_URL — connection string a Neon QA (custodio_test)</w:t>
        <w:br/>
        <w:br/>
        <w:t>Variables hardcodeadas en el workflow (no sensibles):</w:t>
        <w:br/>
        <w:t>• ALLOWED_ORIGINS=http://localhost:3000</w:t>
        <w:br/>
        <w:t>• ENVIRONMENT=development</w:t>
        <w:br/>
        <w:br/>
        <w:t>El job 'lint' incluye desde v1.13:</w:t>
        <w:br/>
        <w:t>• ruff check backend/app/ (falla en E/F errors)</w:t>
        <w:br/>
        <w:t>• pip-audit -r backend/requirements.txt --severity critical (bloquea CRITICAL)</w:t>
        <w:br/>
        <w:t>• npm run lint (ESLint frontend)</w:t>
      </w:r>
    </w:p>
    <w:p>
      <w:r>
        <w:br w:type="page"/>
      </w:r>
    </w:p>
    <w:p>
      <w:pPr>
        <w:pStyle w:val="Heading1"/>
      </w:pPr>
      <w:r>
        <w:t>Historial de cambios — v1.13</w:t>
      </w:r>
    </w:p>
    <w:p>
      <w:r>
        <w:rPr>
          <w:b/>
        </w:rPr>
        <w:t>Versión v1.13 — 2026-09-06</w:t>
      </w:r>
    </w:p>
    <w:p>
      <w:r>
        <w:t>Este documento ha sido actualizado desde v1.12 para reflejar los fixes de seguridad, performance y documentación aplicados en la ronda de auditoría QA de septiembre 2026.</w:t>
      </w:r>
    </w:p>
    <w:p>
      <w:pPr>
        <w:pStyle w:val="Heading2"/>
      </w:pPr>
      <w:r>
        <w:t>Cambios incluidos en esta versión</w:t>
      </w:r>
    </w:p>
    <w:p>
      <w:pPr>
        <w:pStyle w:val="ListBullet"/>
      </w:pPr>
      <w:r>
        <w:rPr>
          <w:b/>
        </w:rPr>
        <w:t xml:space="preserve">Seguridad — RBAC Discovery: </w:t>
      </w:r>
      <w:r>
        <w:t>Endpoints de escritura en /discovery/ (POST sources, PATCH sources, DELETE sources, POST scan, POST scan/manual, PATCH findings/vincular-rat) ahora exigen rol 'editor' o 'admin' per-empresa. Un usuario con rol 'viewer' ya no puede crear fuentes de datos ni ejecutar escaneos.</w:t>
      </w:r>
    </w:p>
    <w:p>
      <w:pPr>
        <w:pStyle w:val="ListBullet"/>
      </w:pPr>
      <w:r>
        <w:rPr>
          <w:b/>
        </w:rPr>
        <w:t xml:space="preserve">Seguridad — RBAC EIPD: </w:t>
      </w:r>
      <w:r>
        <w:t>POST /eipd/ y PUT /eipd/{id} ahora exigen require_editor_or_admin_empresa. Un usuario con rol 'viewer' per-empresa ya no puede crear ni actualizar EIPDs.</w:t>
      </w:r>
    </w:p>
    <w:p>
      <w:pPr>
        <w:pStyle w:val="ListBullet"/>
      </w:pPr>
      <w:r>
        <w:rPr>
          <w:b/>
        </w:rPr>
        <w:t xml:space="preserve">Seguridad — RBAC Contratos de Encargado: </w:t>
      </w:r>
      <w:r>
        <w:t>POST /encargados-contrato/, PUT /encargados-contrato/{id} y DELETE /encargados-contrato/{id} ahora exigen require_editor_or_admin_empresa. 'viewer' ya no puede modificar contratos de encargado.</w:t>
      </w:r>
    </w:p>
    <w:p>
      <w:pPr>
        <w:pStyle w:val="ListBullet"/>
      </w:pPr>
      <w:r>
        <w:rPr>
          <w:b/>
        </w:rPr>
        <w:t xml:space="preserve">Performance — Límites de queries: </w:t>
      </w:r>
      <w:r>
        <w:t>Se agregaron .limit() a queries que podían retornar conjuntos no acotados: get_audit_logs → .limit(500); DiscoveryFinding queries → .limit(5000). Previene timeouts y degradación de memoria ante volúmenes grandes de datos.</w:t>
      </w:r>
    </w:p>
    <w:p>
      <w:pPr>
        <w:pStyle w:val="ListBullet"/>
      </w:pPr>
      <w:r>
        <w:rPr>
          <w:b/>
        </w:rPr>
        <w:t xml:space="preserve">Documentación — Discovery: </w:t>
      </w:r>
      <w:r>
        <w:t>Se agregó la sección Discovery &amp; Mapping a CLAUDE.md y a la tabla de endpoints de la API. Se documentó la tabla RBAC por módulo con las reglas canónicas de acceso.</w:t>
      </w:r>
    </w:p>
    <w:p>
      <w:pPr>
        <w:pStyle w:val="Heading2"/>
      </w:pPr>
      <w:r>
        <w:t>Cambios de versiones anteriores incorporados</w:t>
      </w:r>
    </w:p>
    <w:p>
      <w:pPr>
        <w:pStyle w:val="ListBullet"/>
      </w:pPr>
      <w:r>
        <w:rPr>
          <w:b/>
        </w:rPr>
        <w:t xml:space="preserve">Seguridad — RBAC Brechas: </w:t>
      </w:r>
      <w:r>
        <w:t>PUT /brechas/{id}, DELETE /brechas/{id} y POST /brechas/{id}/evaluar-riesgo bloquean rol 'usuario' global. require_module_enabled('BRECHAS') ahora se aplica también en POST/PUT/DELETE.</w:t>
      </w:r>
    </w:p>
    <w:p>
      <w:pPr>
        <w:pStyle w:val="ListBullet"/>
      </w:pPr>
      <w:r>
        <w:rPr>
          <w:b/>
        </w:rPr>
        <w:t xml:space="preserve">Seguridad — RBAC Consentimientos: </w:t>
      </w:r>
      <w:r>
        <w:t>POST /consentimientos/ y POST /consentimientos/{id}/revocar bloquean rol 'usuario' global.</w:t>
      </w:r>
    </w:p>
    <w:p>
      <w:pPr>
        <w:pStyle w:val="ListBullet"/>
      </w:pPr>
      <w:r>
        <w:rPr>
          <w:b/>
        </w:rPr>
        <w:t xml:space="preserve">Seguridad — RBAC TKT Notas: </w:t>
      </w:r>
      <w:r>
        <w:t>POST /tkt-solicitud-derecho/{id}/notas bloquea rol 'usuario' global.</w:t>
      </w:r>
    </w:p>
    <w:p>
      <w:pPr>
        <w:pStyle w:val="ListBullet"/>
      </w:pPr>
      <w:r>
        <w:rPr>
          <w:b/>
        </w:rPr>
        <w:t xml:space="preserve">Seguridad — IDOR Reglas de Asignación: </w:t>
      </w:r>
      <w:r>
        <w:t>PUT /tkt-reglas-asignacion/{id} validaba acceso a company_id original pero no al company_id destino. Un admin_empresa podía reasignar reglas a empresas de otras compañías. Corregido.</w:t>
      </w:r>
    </w:p>
    <w:p>
      <w:pPr>
        <w:pStyle w:val="ListBullet"/>
      </w:pPr>
      <w:r>
        <w:rPr>
          <w:b/>
        </w:rPr>
        <w:t xml:space="preserve">Seguridad — ARCO Público módulo deshabilitado: </w:t>
      </w:r>
      <w:r>
        <w:t>GET /publico/empresas filtraba por ARCO activo solo en memoria sin query eficiente (N+1). POST /publico/ejercer-derechos no verificaba el módulo ARCO. Ambos corregidos.</w:t>
      </w:r>
    </w:p>
    <w:p>
      <w:pPr>
        <w:pStyle w:val="ListBullet"/>
      </w:pPr>
      <w:r>
        <w:rPr>
          <w:b/>
        </w:rPr>
        <w:t xml:space="preserve">Seguridad — CSRF token field name: </w:t>
      </w:r>
      <w:r>
        <w:t>getCsrfToken() en frontend/lib/api.ts leía data.csrf_token (indefinido) en vez de data.token. El formulario ARCO público retornaba 403 en cada envío. Corregido.</w:t>
      </w:r>
    </w:p>
    <w:p>
      <w:pPr>
        <w:pStyle w:val="ListBullet"/>
      </w:pPr>
      <w:r>
        <w:rPr>
          <w:b/>
        </w:rPr>
        <w:t xml:space="preserve">Datos — _truthy(False): </w:t>
      </w:r>
      <w:r>
        <w:t>rat_calculations._truthy() no manejaba bool explícitamente; False retornaba True. Campos booleanos con default=False (datos_anonimizados, transferencia_nacional) se contaban como completados. Fix: if isinstance(value, bool): return value.</w:t>
      </w:r>
    </w:p>
    <w:p>
      <w:pPr>
        <w:pStyle w:val="ListBullet"/>
      </w:pPr>
      <w:r>
        <w:rPr>
          <w:b/>
        </w:rPr>
        <w:t xml:space="preserve">Datos — evidencia_respuesta_hash: </w:t>
      </w:r>
      <w:r>
        <w:t>El hash de integridad ARCO se computaba antes de aplicar respuesta_texto del PATCH entrante. Si el cliente enviaba estado=resuelto + respuesta_texto en un solo PATCH, el hash quedaba sobre cadena vacía. Fix: usar data.respuesta_texto or ticket.respuesta_texto al momento de hashear.</w:t>
      </w:r>
    </w:p>
    <w:p>
      <w:pPr>
        <w:pStyle w:val="ListBullet"/>
      </w:pPr>
      <w:r>
        <w:rPr>
          <w:b/>
        </w:rPr>
        <w:t xml:space="preserve">API — GET /eipd/{id} faltante: </w:t>
      </w:r>
      <w:r>
        <w:t>El servicio tenía get_eipd_by_id() pero no existía la ruta GET. Retornaba 405. Agregada con IDOR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