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97D"/>
          <w:sz w:val="44"/>
        </w:rPr>
        <w:t>Custodio RAT Manager</w:t>
      </w:r>
    </w:p>
    <w:p/>
    <w:p>
      <w:pPr>
        <w:pStyle w:val="Heading1"/>
        <w:jc w:val="center"/>
      </w:pPr>
      <w:r>
        <w:t>12 — Manual Técnico</w:t>
      </w:r>
    </w:p>
    <w:p>
      <w:pPr>
        <w:jc w:val="center"/>
      </w:pPr>
      <w:r>
        <w:t>Guía de arquitectura e implementación</w:t>
      </w:r>
    </w:p>
    <w:p/>
    <w:p>
      <w:pPr>
        <w:jc w:val="center"/>
      </w:pPr>
      <w:r>
        <w:t>Versión: v1.13  ·  Fecha: 24/08/2026</w:t>
        <w:br/>
        <w:t>Ley 21.719 — Protección de Datos Personales de Chile</w:t>
      </w:r>
    </w:p>
    <w:p>
      <w:r>
        <w:br w:type="page"/>
      </w:r>
    </w:p>
    <w:p>
      <w:pPr>
        <w:pStyle w:val="Heading1"/>
      </w:pPr>
      <w:r>
        <w:t>1. Resumen de Cambios v1.13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97D" w:color="auto" w:val="clear"/>
          </w:tcPr>
          <w:p>
            <w:r>
              <w:rPr>
                <w:b/>
                <w:color w:val="FFFFFF"/>
              </w:rPr>
              <w:t>Componente</w:t>
            </w:r>
          </w:p>
        </w:tc>
        <w:tc>
          <w:tcPr>
            <w:tcW w:type="dxa" w:w="2880"/>
            <w:shd w:fill="1F497D" w:color="auto" w:val="clear"/>
          </w:tcPr>
          <w:p>
            <w:r>
              <w:rPr>
                <w:b/>
                <w:color w:val="FFFFFF"/>
              </w:rPr>
              <w:t>Capa</w:t>
            </w:r>
          </w:p>
        </w:tc>
        <w:tc>
          <w:tcPr>
            <w:tcW w:type="dxa" w:w="2880"/>
            <w:shd w:fill="1F497D" w:color="auto" w:val="clear"/>
          </w:tcPr>
          <w:p>
            <w:r>
              <w:rPr>
                <w:b/>
                <w:color w:val="FFFFFF"/>
              </w:rPr>
              <w:t>Descripción</w:t>
            </w:r>
          </w:p>
        </w:tc>
      </w:tr>
      <w:tr>
        <w:tc>
          <w:tcPr>
            <w:tcW w:type="dxa" w:w="2880"/>
          </w:tcPr>
          <w:p>
            <w:r>
              <w:t>Público-QW5</w:t>
            </w:r>
          </w:p>
        </w:tc>
        <w:tc>
          <w:tcPr>
            <w:tcW w:type="dxa" w:w="2880"/>
          </w:tcPr>
          <w:p>
            <w:r>
              <w:t>Backend + Frontend</w:t>
            </w:r>
          </w:p>
        </w:tc>
        <w:tc>
          <w:tcPr>
            <w:tcW w:type="dxa" w:w="2880"/>
          </w:tcPr>
          <w:p>
            <w:r>
              <w:t>GET /publico/verificar-titular: detecta titular con tickets abiertos antes de enviar nueva solicitud ARCO.</w:t>
            </w:r>
          </w:p>
        </w:tc>
      </w:tr>
      <w:tr>
        <w:tc>
          <w:tcPr>
            <w:tcW w:type="dxa" w:w="2880"/>
          </w:tcPr>
          <w:p>
            <w:r>
              <w:t>ARCO-QW6</w:t>
            </w:r>
          </w:p>
        </w:tc>
        <w:tc>
          <w:tcPr>
            <w:tcW w:type="dxa" w:w="2880"/>
          </w:tcPr>
          <w:p>
            <w:r>
              <w:t>Backend</w:t>
            </w:r>
          </w:p>
        </w:tc>
        <w:tc>
          <w:tcPr>
            <w:tcW w:type="dxa" w:w="2880"/>
          </w:tcPr>
          <w:p>
            <w:r>
              <w:t>notificar_acuse_solicitud(): email automático al crear ticket ARCO con titular_email.</w:t>
            </w:r>
          </w:p>
        </w:tc>
      </w:tr>
      <w:tr>
        <w:tc>
          <w:tcPr>
            <w:tcW w:type="dxa" w:w="2880"/>
          </w:tcPr>
          <w:p>
            <w:r>
              <w:t>ARCO-QW7</w:t>
            </w:r>
          </w:p>
        </w:tc>
        <w:tc>
          <w:tcPr>
            <w:tcW w:type="dxa" w:w="2880"/>
          </w:tcPr>
          <w:p>
            <w:r>
              <w:t>Frontend</w:t>
            </w:r>
          </w:p>
        </w:tc>
        <w:tc>
          <w:tcPr>
            <w:tcW w:type="dxa" w:w="2880"/>
          </w:tcPr>
          <w:p>
            <w:r>
              <w:t>Chips de placeholders en TicketDrawer.tsx: {{nombre_titular}}, {{empresa}}, {{fecha}}, etc.</w:t>
            </w:r>
          </w:p>
        </w:tc>
      </w:tr>
      <w:tr>
        <w:tc>
          <w:tcPr>
            <w:tcW w:type="dxa" w:w="2880"/>
          </w:tcPr>
          <w:p>
            <w:r>
              <w:t>ARCO-QW8</w:t>
            </w:r>
          </w:p>
        </w:tc>
        <w:tc>
          <w:tcPr>
            <w:tcW w:type="dxa" w:w="2880"/>
          </w:tcPr>
          <w:p>
            <w:r>
              <w:t>Frontend</w:t>
            </w:r>
          </w:p>
        </w:tc>
        <w:tc>
          <w:tcPr>
            <w:tcW w:type="dxa" w:w="2880"/>
          </w:tcPr>
          <w:p>
            <w:r>
              <w:t>Banner SLA en FlujoModal.tsx: días hábiles consumidos, días restantes, semáforo de color.</w:t>
            </w:r>
          </w:p>
        </w:tc>
      </w:tr>
      <w:tr>
        <w:tc>
          <w:tcPr>
            <w:tcW w:type="dxa" w:w="2880"/>
          </w:tcPr>
          <w:p>
            <w:r>
              <w:t>Empresas-QW6</w:t>
            </w:r>
          </w:p>
        </w:tc>
        <w:tc>
          <w:tcPr>
            <w:tcW w:type="dxa" w:w="2880"/>
          </w:tcPr>
          <w:p>
            <w:r>
              <w:t>Frontend</w:t>
            </w:r>
          </w:p>
        </w:tc>
        <w:tc>
          <w:tcPr>
            <w:tcW w:type="dxa" w:w="2880"/>
          </w:tcPr>
          <w:p>
            <w:r>
              <w:t>CompanyFichaPanel.tsx: panel con 4 tabs (Datos/RATs/ARCO/Brechas) con carga lazy.</w:t>
            </w:r>
          </w:p>
        </w:tc>
      </w:tr>
      <w:tr>
        <w:tc>
          <w:tcPr>
            <w:tcW w:type="dxa" w:w="2880"/>
          </w:tcPr>
          <w:p>
            <w:r>
              <w:t>CI/CD</w:t>
            </w:r>
          </w:p>
        </w:tc>
        <w:tc>
          <w:tcPr>
            <w:tcW w:type="dxa" w:w="2880"/>
          </w:tcPr>
          <w:p>
            <w:r>
              <w:t>DevOps</w:t>
            </w:r>
          </w:p>
        </w:tc>
        <w:tc>
          <w:tcPr>
            <w:tcW w:type="dxa" w:w="2880"/>
          </w:tcPr>
          <w:p>
            <w:r>
              <w:t>pip-audit en job lint: bloquea CRITICAL, advierte HIGH. Env vars ALLOWED_ORIGINS y ENVIRONMENT hardcodeados para tests.</w:t>
            </w:r>
          </w:p>
        </w:tc>
      </w:tr>
      <w:tr>
        <w:tc>
          <w:tcPr>
            <w:tcW w:type="dxa" w:w="2880"/>
          </w:tcPr>
          <w:p>
            <w:r>
              <w:t>Nomenclatura</w:t>
            </w:r>
          </w:p>
        </w:tc>
        <w:tc>
          <w:tcPr>
            <w:tcW w:type="dxa" w:w="2880"/>
          </w:tcPr>
          <w:p>
            <w:r>
              <w:t>Global</w:t>
            </w:r>
          </w:p>
        </w:tc>
        <w:tc>
          <w:tcPr>
            <w:tcW w:type="dxa" w:w="2880"/>
          </w:tcPr>
          <w:p>
            <w:r>
              <w:t>APDC → APDP (Agencia de Protección de Datos Personales) en código, tests y docs.</w:t>
            </w:r>
          </w:p>
        </w:tc>
      </w:tr>
    </w:tbl>
    <w:p>
      <w:pPr>
        <w:pStyle w:val="Heading1"/>
      </w:pPr>
      <w:r>
        <w:t>2. Nuevo Endpoint: GET /publico/verificar-titular</w:t>
      </w:r>
    </w:p>
    <w:p>
      <w:r>
        <w:t>Archivo: backend/app/routes/publico_arco.py</w:t>
      </w:r>
    </w:p>
    <w:p>
      <w:r>
        <w:t>Endpoint público (sin autenticación) que verifica si un email ya tiene solicitudes ARCO en estado abierto/en_proceso/pendiente_subsanacion para una empresa dada.</w:t>
        <w:br/>
        <w:br/>
        <w:t>Rate limit: 20/minuto por IP (para evitar enumeración de emails).</w:t>
        <w:br/>
        <w:t>Respuesta: {tiene_tickets_abiertos: bool, cantidad: int}</w:t>
      </w:r>
    </w:p>
    <w:p>
      <w:pPr>
        <w:pStyle w:val="Heading2"/>
      </w:pPr>
      <w:r>
        <w:t>2.1 Seguridad</w:t>
      </w:r>
    </w:p>
    <w:p>
      <w:r>
        <w:t>• No revela si el email existe en el sistema (solo indica tickets abiertos en esa empresa).</w:t>
        <w:br/>
        <w:t>• Rate limited con slowapi (20/min) para prevenir ataques de enumeración.</w:t>
        <w:br/>
        <w:t>• Solo estados activos: abierto, en_proceso, pendiente_subsanacion, pendiente.</w:t>
        <w:br/>
        <w:t>• titular_email almacenado como texto plano (String(255)) — no cifrado en tkt_solicitud_derecho.</w:t>
      </w:r>
    </w:p>
    <w:p>
      <w:pPr>
        <w:pStyle w:val="Heading1"/>
      </w:pPr>
      <w:r>
        <w:t>3. ARCO-QW6: Acuse de Recibo Automático</w:t>
      </w:r>
    </w:p>
    <w:p>
      <w:r>
        <w:t>Archivo: backend/app/routes/tkt_solicitud_derecho.py</w:t>
      </w:r>
    </w:p>
    <w:p>
      <w:r>
        <w:t>Al crear un ticket ARCO (POST /tkt-solicitud-derecho/) con titular_email presente, el sistema llama notificar_acuse_solicitud() del email_service. Si falla, registra warning en logs pero no revierte la creación del ticket (no bloquea el flujo).</w:t>
      </w:r>
    </w:p>
    <w:p>
      <w:pPr>
        <w:pStyle w:val="Heading1"/>
      </w:pPr>
      <w:r>
        <w:t>4. Empresas-QW6: CompanyFichaPanel</w:t>
      </w:r>
    </w:p>
    <w:p>
      <w:r>
        <w:t>Archivo: frontend-next/components/companies/CompanyFichaPanel.tsx</w:t>
      </w:r>
    </w:p>
    <w:p>
      <w:r>
        <w:t>Componente de panel con 4 tabs con carga lazy:</w:t>
        <w:br/>
        <w:t>• Datos: edición de la empresa (reutiliza CompanyEditForm)</w:t>
        <w:br/>
        <w:t>• RATs: listado de RATs de la empresa con completitud</w:t>
        <w:br/>
        <w:t>• ARCO: tickets de solicitudes de derecho (usa TktListResponse.tickets)</w:t>
        <w:br/>
        <w:t>• Brechas: listado de brechas de seguridad</w:t>
        <w:br/>
        <w:br/>
        <w:t>Se activa con un botón 'Ficha' por tarjeta de empresa en /companies.</w:t>
      </w:r>
    </w:p>
    <w:p>
      <w:pPr>
        <w:pStyle w:val="Heading1"/>
      </w:pPr>
      <w:r>
        <w:t>5. CI/CD — Pipeline Tests + Coverage</w:t>
      </w:r>
    </w:p>
    <w:p>
      <w:r>
        <w:t>Archivo: .github/workflows/tests.yml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97D" w:color="auto" w:val="clear"/>
          </w:tcPr>
          <w:p>
            <w:r>
              <w:rPr>
                <w:b/>
                <w:color w:val="FFFFFF"/>
              </w:rPr>
              <w:t>Cambio</w:t>
            </w:r>
          </w:p>
        </w:tc>
        <w:tc>
          <w:tcPr>
            <w:tcW w:type="dxa" w:w="2880"/>
            <w:shd w:fill="1F497D" w:color="auto" w:val="clear"/>
          </w:tcPr>
          <w:p>
            <w:r>
              <w:rPr>
                <w:b/>
                <w:color w:val="FFFFFF"/>
              </w:rPr>
              <w:t>Job</w:t>
            </w:r>
          </w:p>
        </w:tc>
        <w:tc>
          <w:tcPr>
            <w:tcW w:type="dxa" w:w="2880"/>
            <w:shd w:fill="1F497D" w:color="auto" w:val="clear"/>
          </w:tcPr>
          <w:p>
            <w:r>
              <w:rPr>
                <w:b/>
                <w:color w:val="FFFFFF"/>
              </w:rPr>
              <w:t>Detalle</w:t>
            </w:r>
          </w:p>
        </w:tc>
      </w:tr>
      <w:tr>
        <w:tc>
          <w:tcPr>
            <w:tcW w:type="dxa" w:w="2880"/>
          </w:tcPr>
          <w:p>
            <w:r>
              <w:t>pip-audit</w:t>
            </w:r>
          </w:p>
        </w:tc>
        <w:tc>
          <w:tcPr>
            <w:tcW w:type="dxa" w:w="2880"/>
          </w:tcPr>
          <w:p>
            <w:r>
              <w:t>lint</w:t>
            </w:r>
          </w:p>
        </w:tc>
        <w:tc>
          <w:tcPr>
            <w:tcW w:type="dxa" w:w="2880"/>
          </w:tcPr>
          <w:p>
            <w:r>
              <w:t>Escaneo CVE en requirements.txt. CRITICAL bloquea CI; HIGH aparece como warning.</w:t>
            </w:r>
          </w:p>
        </w:tc>
      </w:tr>
      <w:tr>
        <w:tc>
          <w:tcPr>
            <w:tcW w:type="dxa" w:w="2880"/>
          </w:tcPr>
          <w:p>
            <w:r>
              <w:t>ALLOWED_ORIGINS</w:t>
            </w:r>
          </w:p>
        </w:tc>
        <w:tc>
          <w:tcPr>
            <w:tcW w:type="dxa" w:w="2880"/>
          </w:tcPr>
          <w:p>
            <w:r>
              <w:t>backend-tests</w:t>
            </w:r>
          </w:p>
        </w:tc>
        <w:tc>
          <w:tcPr>
            <w:tcW w:type="dxa" w:w="2880"/>
          </w:tcPr>
          <w:p>
            <w:r>
              <w:t>Hardcodeado a 'http://localhost:3000' (evita RuntimeError al importar main.py).</w:t>
            </w:r>
          </w:p>
        </w:tc>
      </w:tr>
      <w:tr>
        <w:tc>
          <w:tcPr>
            <w:tcW w:type="dxa" w:w="2880"/>
          </w:tcPr>
          <w:p>
            <w:r>
              <w:t>ENVIRONMENT</w:t>
            </w:r>
          </w:p>
        </w:tc>
        <w:tc>
          <w:tcPr>
            <w:tcW w:type="dxa" w:w="2880"/>
          </w:tcPr>
          <w:p>
            <w:r>
              <w:t>backend-tests</w:t>
            </w:r>
          </w:p>
        </w:tc>
        <w:tc>
          <w:tcPr>
            <w:tcW w:type="dxa" w:w="2880"/>
          </w:tcPr>
          <w:p>
            <w:r>
              <w:t>Hardcodeado a 'development' (activa dev fallbacks de crypto y JWT).</w:t>
            </w:r>
          </w:p>
        </w:tc>
      </w:tr>
      <w:tr>
        <w:tc>
          <w:tcPr>
            <w:tcW w:type="dxa" w:w="2880"/>
          </w:tcPr>
          <w:p>
            <w:r>
              <w:t>Verificar secret</w:t>
            </w:r>
          </w:p>
        </w:tc>
        <w:tc>
          <w:tcPr>
            <w:tcW w:type="dxa" w:w="2880"/>
          </w:tcPr>
          <w:p>
            <w:r>
              <w:t>backend-tests</w:t>
            </w:r>
          </w:p>
        </w:tc>
        <w:tc>
          <w:tcPr>
            <w:tcW w:type="dxa" w:w="2880"/>
          </w:tcPr>
          <w:p>
            <w:r>
              <w:t>Step previo que falla con mensaje claro si TEST_DATABASE_URL no está configurado.</w:t>
            </w:r>
          </w:p>
        </w:tc>
      </w:tr>
      <w:tr>
        <w:tc>
          <w:tcPr>
            <w:tcW w:type="dxa" w:w="2880"/>
          </w:tcPr>
          <w:p>
            <w:r>
              <w:t>include/exclude vitest</w:t>
            </w:r>
          </w:p>
        </w:tc>
        <w:tc>
          <w:tcPr>
            <w:tcW w:type="dxa" w:w="2880"/>
          </w:tcPr>
          <w:p>
            <w:r>
              <w:t>frontend-tests</w:t>
            </w:r>
          </w:p>
        </w:tc>
        <w:tc>
          <w:tcPr>
            <w:tcW w:type="dxa" w:w="2880"/>
          </w:tcPr>
          <w:p>
            <w:r>
              <w:t>Excluye e2e/ para que Playwright no corra dentro de vitest.</w:t>
            </w:r>
          </w:p>
        </w:tc>
      </w:tr>
    </w:tbl>
    <w:p>
      <w:pPr>
        <w:pStyle w:val="Heading1"/>
      </w:pPr>
      <w:r>
        <w:t>6. Stack Tecnológico (vigente)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97D" w:color="auto" w:val="clear"/>
          </w:tcPr>
          <w:p>
            <w:r>
              <w:rPr>
                <w:b/>
                <w:color w:val="FFFFFF"/>
              </w:rPr>
              <w:t>Componente</w:t>
            </w:r>
          </w:p>
        </w:tc>
        <w:tc>
          <w:tcPr>
            <w:tcW w:type="dxa" w:w="2880"/>
            <w:shd w:fill="1F497D" w:color="auto" w:val="clear"/>
          </w:tcPr>
          <w:p>
            <w:r>
              <w:rPr>
                <w:b/>
                <w:color w:val="FFFFFF"/>
              </w:rPr>
              <w:t>Tecnología</w:t>
            </w:r>
          </w:p>
        </w:tc>
        <w:tc>
          <w:tcPr>
            <w:tcW w:type="dxa" w:w="2880"/>
            <w:shd w:fill="1F497D" w:color="auto" w:val="clear"/>
          </w:tcPr>
          <w:p>
            <w:r>
              <w:rPr>
                <w:b/>
                <w:color w:val="FFFFFF"/>
              </w:rPr>
              <w:t>Notas</w:t>
            </w:r>
          </w:p>
        </w:tc>
      </w:tr>
      <w:tr>
        <w:tc>
          <w:tcPr>
            <w:tcW w:type="dxa" w:w="2880"/>
          </w:tcPr>
          <w:p>
            <w:r>
              <w:t>Backend</w:t>
            </w:r>
          </w:p>
        </w:tc>
        <w:tc>
          <w:tcPr>
            <w:tcW w:type="dxa" w:w="2880"/>
          </w:tcPr>
          <w:p>
            <w:r>
              <w:t>FastAPI 0.115 + Uvicorn</w:t>
            </w:r>
          </w:p>
        </w:tc>
        <w:tc>
          <w:tcPr>
            <w:tcW w:type="dxa" w:w="2880"/>
          </w:tcPr>
          <w:p>
            <w:r>
              <w:t>Python 3.9+</w:t>
            </w:r>
          </w:p>
        </w:tc>
      </w:tr>
      <w:tr>
        <w:tc>
          <w:tcPr>
            <w:tcW w:type="dxa" w:w="2880"/>
          </w:tcPr>
          <w:p>
            <w:r>
              <w:t>ORM</w:t>
            </w:r>
          </w:p>
        </w:tc>
        <w:tc>
          <w:tcPr>
            <w:tcW w:type="dxa" w:w="2880"/>
          </w:tcPr>
          <w:p>
            <w:r>
              <w:t>SQLAlchemy 2.0</w:t>
            </w:r>
          </w:p>
        </w:tc>
        <w:tc>
          <w:tcPr>
            <w:tcW w:type="dxa" w:w="2880"/>
          </w:tcPr>
          <w:p>
            <w:r>
              <w:t>PostgreSQL (Neon)</w:t>
            </w:r>
          </w:p>
        </w:tc>
      </w:tr>
      <w:tr>
        <w:tc>
          <w:tcPr>
            <w:tcW w:type="dxa" w:w="2880"/>
          </w:tcPr>
          <w:p>
            <w:r>
              <w:t>Validación</w:t>
            </w:r>
          </w:p>
        </w:tc>
        <w:tc>
          <w:tcPr>
            <w:tcW w:type="dxa" w:w="2880"/>
          </w:tcPr>
          <w:p>
            <w:r>
              <w:t>Pydantic 2.10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  <w:tr>
        <w:tc>
          <w:tcPr>
            <w:tcW w:type="dxa" w:w="2880"/>
          </w:tcPr>
          <w:p>
            <w:r>
              <w:t>Auth</w:t>
            </w:r>
          </w:p>
        </w:tc>
        <w:tc>
          <w:tcPr>
            <w:tcW w:type="dxa" w:w="2880"/>
          </w:tcPr>
          <w:p>
            <w:r>
              <w:t>JWT (HS256) + bcrypt</w:t>
            </w:r>
          </w:p>
        </w:tc>
        <w:tc>
          <w:tcPr>
            <w:tcW w:type="dxa" w:w="2880"/>
          </w:tcPr>
          <w:p>
            <w:r>
              <w:t>python-jose 3.3.0, passlib 1.7.4</w:t>
            </w:r>
          </w:p>
        </w:tc>
      </w:tr>
      <w:tr>
        <w:tc>
          <w:tcPr>
            <w:tcW w:type="dxa" w:w="2880"/>
          </w:tcPr>
          <w:p>
            <w:r>
              <w:t>Cifrado</w:t>
            </w:r>
          </w:p>
        </w:tc>
        <w:tc>
          <w:tcPr>
            <w:tcW w:type="dxa" w:w="2880"/>
          </w:tcPr>
          <w:p>
            <w:r>
              <w:t>Fernet (cryptography 43)</w:t>
            </w:r>
          </w:p>
        </w:tc>
        <w:tc>
          <w:tcPr>
            <w:tcW w:type="dxa" w:w="2880"/>
          </w:tcPr>
          <w:p>
            <w:r>
              <w:t>ENCRYPTION_KEY obligatoria en prod/qa</w:t>
            </w:r>
          </w:p>
        </w:tc>
      </w:tr>
      <w:tr>
        <w:tc>
          <w:tcPr>
            <w:tcW w:type="dxa" w:w="2880"/>
          </w:tcPr>
          <w:p>
            <w:r>
              <w:t>Email</w:t>
            </w:r>
          </w:p>
        </w:tc>
        <w:tc>
          <w:tcPr>
            <w:tcW w:type="dxa" w:w="2880"/>
          </w:tcPr>
          <w:p>
            <w:r>
              <w:t>SMTP via SMTP_URL DSN</w:t>
            </w:r>
          </w:p>
        </w:tc>
        <w:tc>
          <w:tcPr>
            <w:tcW w:type="dxa" w:w="2880"/>
          </w:tcPr>
          <w:p>
            <w:r>
              <w:t>Modo DRY_RUN si no configurado</w:t>
            </w:r>
          </w:p>
        </w:tc>
      </w:tr>
      <w:tr>
        <w:tc>
          <w:tcPr>
            <w:tcW w:type="dxa" w:w="2880"/>
          </w:tcPr>
          <w:p>
            <w:r>
              <w:t>Frontend</w:t>
            </w:r>
          </w:p>
        </w:tc>
        <w:tc>
          <w:tcPr>
            <w:tcW w:type="dxa" w:w="2880"/>
          </w:tcPr>
          <w:p>
            <w:r>
              <w:t>Next.js 16.2 + React 19</w:t>
            </w:r>
          </w:p>
        </w:tc>
        <w:tc>
          <w:tcPr>
            <w:tcW w:type="dxa" w:w="2880"/>
          </w:tcPr>
          <w:p>
            <w:r>
              <w:t>TypeScript + Tailwind CSS v4</w:t>
            </w:r>
          </w:p>
        </w:tc>
      </w:tr>
      <w:tr>
        <w:tc>
          <w:tcPr>
            <w:tcW w:type="dxa" w:w="2880"/>
          </w:tcPr>
          <w:p>
            <w:r>
              <w:t>Tests backend</w:t>
            </w:r>
          </w:p>
        </w:tc>
        <w:tc>
          <w:tcPr>
            <w:tcW w:type="dxa" w:w="2880"/>
          </w:tcPr>
          <w:p>
            <w:r>
              <w:t>pytest 8.3 + httpx</w:t>
            </w:r>
          </w:p>
        </w:tc>
        <w:tc>
          <w:tcPr>
            <w:tcW w:type="dxa" w:w="2880"/>
          </w:tcPr>
          <w:p>
            <w:r>
              <w:t>761+ tests contra Neon QA</w:t>
            </w:r>
          </w:p>
        </w:tc>
      </w:tr>
      <w:tr>
        <w:tc>
          <w:tcPr>
            <w:tcW w:type="dxa" w:w="2880"/>
          </w:tcPr>
          <w:p>
            <w:r>
              <w:t>Tests frontend</w:t>
            </w:r>
          </w:p>
        </w:tc>
        <w:tc>
          <w:tcPr>
            <w:tcW w:type="dxa" w:w="2880"/>
          </w:tcPr>
          <w:p>
            <w:r>
              <w:t>vitest 3 + Playwright</w:t>
            </w:r>
          </w:p>
        </w:tc>
        <w:tc>
          <w:tcPr>
            <w:tcW w:type="dxa" w:w="2880"/>
          </w:tcPr>
          <w:p>
            <w:r>
              <w:t>E2E separados del runner vitest</w:t>
            </w:r>
          </w:p>
        </w:tc>
      </w:tr>
      <w:tr>
        <w:tc>
          <w:tcPr>
            <w:tcW w:type="dxa" w:w="2880"/>
          </w:tcPr>
          <w:p>
            <w:r>
              <w:t>CI/CD</w:t>
            </w:r>
          </w:p>
        </w:tc>
        <w:tc>
          <w:tcPr>
            <w:tcW w:type="dxa" w:w="2880"/>
          </w:tcPr>
          <w:p>
            <w:r>
              <w:t>GitHub Actions</w:t>
            </w:r>
          </w:p>
        </w:tc>
        <w:tc>
          <w:tcPr>
            <w:tcW w:type="dxa" w:w="2880"/>
          </w:tcPr>
          <w:p>
            <w:r>
              <w:t>3 jobs: backend-tests, frontend-tests, lint (ruff + eslint + pip-audit)</w:t>
            </w:r>
          </w:p>
        </w:tc>
      </w:tr>
      <w:tr>
        <w:tc>
          <w:tcPr>
            <w:tcW w:type="dxa" w:w="2880"/>
          </w:tcPr>
          <w:p>
            <w:r>
              <w:t>Hosting</w:t>
            </w:r>
          </w:p>
        </w:tc>
        <w:tc>
          <w:tcPr>
            <w:tcW w:type="dxa" w:w="2880"/>
          </w:tcPr>
          <w:p>
            <w:r>
              <w:t>Vercel</w:t>
            </w:r>
          </w:p>
        </w:tc>
        <w:tc>
          <w:tcPr>
            <w:tcW w:type="dxa" w:w="2880"/>
          </w:tcPr>
          <w:p>
            <w:r>
              <w:t>Node.js 24 (actualizado desde 20)</w:t>
            </w:r>
          </w:p>
        </w:tc>
      </w:tr>
      <w:tr>
        <w:tc>
          <w:tcPr>
            <w:tcW w:type="dxa" w:w="2880"/>
          </w:tcPr>
          <w:p>
            <w:r>
              <w:t>Base de datos</w:t>
            </w:r>
          </w:p>
        </w:tc>
        <w:tc>
          <w:tcPr>
            <w:tcW w:type="dxa" w:w="2880"/>
          </w:tcPr>
          <w:p>
            <w:r>
              <w:t>Neon PostgreSQL</w:t>
            </w:r>
          </w:p>
        </w:tc>
        <w:tc>
          <w:tcPr>
            <w:tcW w:type="dxa" w:w="2880"/>
          </w:tcPr>
          <w:p>
            <w:r>
              <w:t>BD prod + BD QA separada para tests</w:t>
            </w:r>
          </w:p>
        </w:tc>
      </w:tr>
    </w:tbl>
    <w:p>
      <w:r>
        <w:br w:type="page"/>
      </w:r>
    </w:p>
    <w:p>
      <w:pPr>
        <w:pStyle w:val="Heading1"/>
      </w:pPr>
      <w:r>
        <w:t>Historial de cambios — v1.13</w:t>
      </w:r>
    </w:p>
    <w:p>
      <w:r>
        <w:rPr>
          <w:b/>
        </w:rPr>
        <w:t>Versión v1.13 — 2026-09-06</w:t>
      </w:r>
    </w:p>
    <w:p>
      <w:r>
        <w:t>Este documento ha sido actualizado desde v1.12 para reflejar los fixes de seguridad, performance y documentación aplicados en la ronda de auditoría QA de septiembre 2026.</w:t>
      </w:r>
    </w:p>
    <w:p>
      <w:pPr>
        <w:pStyle w:val="Heading2"/>
      </w:pPr>
      <w:r>
        <w:t>Cambios incluidos en esta versión</w:t>
      </w:r>
    </w:p>
    <w:p>
      <w:pPr>
        <w:pStyle w:val="ListBullet"/>
      </w:pPr>
      <w:r>
        <w:rPr>
          <w:b/>
        </w:rPr>
        <w:t xml:space="preserve">Seguridad — RBAC Discovery: </w:t>
      </w:r>
      <w:r>
        <w:t>Endpoints de escritura en /discovery/ (POST sources, PATCH sources, DELETE sources, POST scan, POST scan/manual, PATCH findings/vincular-rat) ahora exigen rol 'editor' o 'admin' per-empresa. Un usuario con rol 'viewer' ya no puede crear fuentes de datos ni ejecutar escaneos.</w:t>
      </w:r>
    </w:p>
    <w:p>
      <w:pPr>
        <w:pStyle w:val="ListBullet"/>
      </w:pPr>
      <w:r>
        <w:rPr>
          <w:b/>
        </w:rPr>
        <w:t xml:space="preserve">Seguridad — RBAC EIPD: </w:t>
      </w:r>
      <w:r>
        <w:t>POST /eipd/ y PUT /eipd/{id} ahora exigen require_editor_or_admin_empresa. Un usuario con rol 'viewer' per-empresa ya no puede crear ni actualizar EIPDs.</w:t>
      </w:r>
    </w:p>
    <w:p>
      <w:pPr>
        <w:pStyle w:val="ListBullet"/>
      </w:pPr>
      <w:r>
        <w:rPr>
          <w:b/>
        </w:rPr>
        <w:t xml:space="preserve">Seguridad — RBAC Contratos de Encargado: </w:t>
      </w:r>
      <w:r>
        <w:t>POST /encargados-contrato/, PUT /encargados-contrato/{id} y DELETE /encargados-contrato/{id} ahora exigen require_editor_or_admin_empresa. 'viewer' ya no puede modificar contratos de encargado.</w:t>
      </w:r>
    </w:p>
    <w:p>
      <w:pPr>
        <w:pStyle w:val="ListBullet"/>
      </w:pPr>
      <w:r>
        <w:rPr>
          <w:b/>
        </w:rPr>
        <w:t xml:space="preserve">Performance — Límites de queries: </w:t>
      </w:r>
      <w:r>
        <w:t>Se agregaron .limit() a queries que podían retornar conjuntos no acotados: get_audit_logs → .limit(500); DiscoveryFinding queries → .limit(5000). Previene timeouts y degradación de memoria ante volúmenes grandes de datos.</w:t>
      </w:r>
    </w:p>
    <w:p>
      <w:pPr>
        <w:pStyle w:val="ListBullet"/>
      </w:pPr>
      <w:r>
        <w:rPr>
          <w:b/>
        </w:rPr>
        <w:t xml:space="preserve">Documentación — Discovery: </w:t>
      </w:r>
      <w:r>
        <w:t>Se agregó la sección Discovery &amp; Mapping a CLAUDE.md y a la tabla de endpoints de la API. Se documentó la tabla RBAC por módulo con las reglas canónicas de acceso.</w:t>
      </w:r>
    </w:p>
    <w:p>
      <w:pPr>
        <w:pStyle w:val="Heading2"/>
      </w:pPr>
      <w:r>
        <w:t>Cambios de versiones anteriores incorporados</w:t>
      </w:r>
    </w:p>
    <w:p>
      <w:pPr>
        <w:pStyle w:val="ListBullet"/>
      </w:pPr>
      <w:r>
        <w:rPr>
          <w:b/>
        </w:rPr>
        <w:t xml:space="preserve">Seguridad — RBAC Brechas: </w:t>
      </w:r>
      <w:r>
        <w:t>PUT /brechas/{id}, DELETE /brechas/{id} y POST /brechas/{id}/evaluar-riesgo bloquean rol 'usuario' global. require_module_enabled('BRECHAS') ahora se aplica también en POST/PUT/DELETE.</w:t>
      </w:r>
    </w:p>
    <w:p>
      <w:pPr>
        <w:pStyle w:val="ListBullet"/>
      </w:pPr>
      <w:r>
        <w:rPr>
          <w:b/>
        </w:rPr>
        <w:t xml:space="preserve">Seguridad — RBAC Consentimientos: </w:t>
      </w:r>
      <w:r>
        <w:t>POST /consentimientos/ y POST /consentimientos/{id}/revocar bloquean rol 'usuario' global.</w:t>
      </w:r>
    </w:p>
    <w:p>
      <w:pPr>
        <w:pStyle w:val="ListBullet"/>
      </w:pPr>
      <w:r>
        <w:rPr>
          <w:b/>
        </w:rPr>
        <w:t xml:space="preserve">Seguridad — RBAC TKT Notas: </w:t>
      </w:r>
      <w:r>
        <w:t>POST /tkt-solicitud-derecho/{id}/notas bloquea rol 'usuario' global.</w:t>
      </w:r>
    </w:p>
    <w:p>
      <w:pPr>
        <w:pStyle w:val="ListBullet"/>
      </w:pPr>
      <w:r>
        <w:rPr>
          <w:b/>
        </w:rPr>
        <w:t xml:space="preserve">Seguridad — IDOR Reglas de Asignación: </w:t>
      </w:r>
      <w:r>
        <w:t>PUT /tkt-reglas-asignacion/{id} validaba acceso a company_id original pero no al company_id destino. Un admin_empresa podía reasignar reglas a empresas de otras compañías. Corregido.</w:t>
      </w:r>
    </w:p>
    <w:p>
      <w:pPr>
        <w:pStyle w:val="ListBullet"/>
      </w:pPr>
      <w:r>
        <w:rPr>
          <w:b/>
        </w:rPr>
        <w:t xml:space="preserve">Seguridad — ARCO Público módulo deshabilitado: </w:t>
      </w:r>
      <w:r>
        <w:t>GET /publico/empresas filtraba por ARCO activo solo en memoria sin query eficiente (N+1). POST /publico/ejercer-derechos no verificaba el módulo ARCO. Ambos corregidos.</w:t>
      </w:r>
    </w:p>
    <w:p>
      <w:pPr>
        <w:pStyle w:val="ListBullet"/>
      </w:pPr>
      <w:r>
        <w:rPr>
          <w:b/>
        </w:rPr>
        <w:t xml:space="preserve">Seguridad — CSRF token field name: </w:t>
      </w:r>
      <w:r>
        <w:t>getCsrfToken() en frontend/lib/api.ts leía data.csrf_token (indefinido) en vez de data.token. El formulario ARCO público retornaba 403 en cada envío. Corregido.</w:t>
      </w:r>
    </w:p>
    <w:p>
      <w:pPr>
        <w:pStyle w:val="ListBullet"/>
      </w:pPr>
      <w:r>
        <w:rPr>
          <w:b/>
        </w:rPr>
        <w:t xml:space="preserve">Datos — _truthy(False): </w:t>
      </w:r>
      <w:r>
        <w:t>rat_calculations._truthy() no manejaba bool explícitamente; False retornaba True. Campos booleanos con default=False (datos_anonimizados, transferencia_nacional) se contaban como completados. Fix: if isinstance(value, bool): return value.</w:t>
      </w:r>
    </w:p>
    <w:p>
      <w:pPr>
        <w:pStyle w:val="ListBullet"/>
      </w:pPr>
      <w:r>
        <w:rPr>
          <w:b/>
        </w:rPr>
        <w:t xml:space="preserve">Datos — evidencia_respuesta_hash: </w:t>
      </w:r>
      <w:r>
        <w:t>El hash de integridad ARCO se computaba antes de aplicar respuesta_texto del PATCH entrante. Si el cliente enviaba estado=resuelto + respuesta_texto en un solo PATCH, el hash quedaba sobre cadena vacía. Fix: usar data.respuesta_texto or ticket.respuesta_texto al momento de hashear.</w:t>
      </w:r>
    </w:p>
    <w:p>
      <w:pPr>
        <w:pStyle w:val="ListBullet"/>
      </w:pPr>
      <w:r>
        <w:rPr>
          <w:b/>
        </w:rPr>
        <w:t xml:space="preserve">API — GET /eipd/{id} faltante: </w:t>
      </w:r>
      <w:r>
        <w:t>El servicio tenía get_eipd_by_id() pero no existía la ruta GET. Retornaba 405. Agregada con IDOR check.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497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40404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