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Bdr>
          <w:top w:val="single" w:sz="16" w:space="4" w:color="1F497D"/>
          <w:left w:val="single" w:sz="16" w:space="4" w:color="1F497D"/>
          <w:bottom w:val="single" w:sz="16" w:space="4" w:color="1F497D"/>
          <w:right w:val="single" w:sz="16" w:space="4" w:color="1F497D"/>
        </w:pBdr>
        <w:shd w:val="clear" w:color="auto" w:fill="1F497D"/>
      </w:pPr>
      <w:r>
        <w:rPr>
          <w:b/>
          <w:color w:val="FFFFFF"/>
          <w:sz w:val="24"/>
        </w:rPr>
        <w:t xml:space="preserve">  ▣  CUSTODIO  ·  CUSTODIO RAT MANAGER  </w:t>
      </w:r>
    </w:p>
    <w:p>
      <w:pPr>
        <w:spacing w:before="720" w:after="120"/>
        <w:jc w:val="center"/>
      </w:pPr>
      <w:r>
        <w:rPr>
          <w:i/>
          <w:color w:val="808080"/>
          <w:sz w:val="22"/>
        </w:rPr>
        <w:t>CUST-DOC-01</w:t>
      </w:r>
    </w:p>
    <w:p/>
    <w:p/>
    <w:p>
      <w:pPr>
        <w:spacing w:after="240"/>
        <w:jc w:val="center"/>
      </w:pPr>
      <w:r>
        <w:rPr>
          <w:b/>
          <w:color w:val="1F497D"/>
          <w:sz w:val="56"/>
        </w:rPr>
        <w:t>VISIÓN DEL PRODUCTO</w:t>
      </w:r>
    </w:p>
    <w:p>
      <w:pPr>
        <w:spacing w:after="480"/>
        <w:jc w:val="center"/>
      </w:pPr>
      <w:r>
        <w:rPr>
          <w:i/>
          <w:color w:val="2E74B5"/>
          <w:sz w:val="28"/>
        </w:rPr>
        <w:t>Problema, propuesta de valor, alcance, beneficios y riesgos</w:t>
      </w:r>
    </w:p>
    <w:p/>
    <w:p/>
    <w:p>
      <w:pPr>
        <w:jc w:val="center"/>
        <w:pBdr>
          <w:bottom w:val="single" w:sz="12" w:space="1" w:color="2E74B5"/>
        </w:pBdr>
      </w:pPr>
      <w:r>
        <w:rPr>
          <w:sz w:val="4"/>
        </w:rPr>
        <w:t xml:space="preserve">  </w:t>
      </w:r>
    </w:p>
    <w:p/>
    <w:p/>
    <w:p>
      <w:pPr>
        <w:spacing w:after="40"/>
        <w:jc w:val="center"/>
      </w:pPr>
      <w:r>
        <w:rPr>
          <w:b/>
          <w:color w:val="1F497D"/>
          <w:sz w:val="22"/>
        </w:rPr>
        <w:t xml:space="preserve">Versión:  </w:t>
      </w:r>
      <w:r>
        <w:rPr>
          <w:color w:val="404040"/>
          <w:sz w:val="22"/>
        </w:rPr>
        <w:t>v1.0</w:t>
      </w:r>
    </w:p>
    <w:p>
      <w:pPr>
        <w:spacing w:after="40"/>
        <w:jc w:val="center"/>
      </w:pPr>
      <w:r>
        <w:rPr>
          <w:b/>
          <w:color w:val="1F497D"/>
          <w:sz w:val="22"/>
        </w:rPr>
        <w:t xml:space="preserve">Fecha de emisión:  </w:t>
      </w:r>
      <w:r>
        <w:rPr>
          <w:color w:val="404040"/>
          <w:sz w:val="22"/>
        </w:rPr>
        <w:t>Junio 2026</w:t>
      </w:r>
    </w:p>
    <w:p>
      <w:pPr>
        <w:spacing w:after="40"/>
        <w:jc w:val="center"/>
      </w:pPr>
      <w:r>
        <w:rPr>
          <w:b/>
          <w:color w:val="1F497D"/>
          <w:sz w:val="22"/>
        </w:rPr>
        <w:t xml:space="preserve">Autor:  </w:t>
      </w:r>
      <w:r>
        <w:rPr>
          <w:color w:val="404040"/>
          <w:sz w:val="22"/>
        </w:rPr>
        <w:t>Equipo de Desarrollo — Custodio</w:t>
      </w:r>
    </w:p>
    <w:p>
      <w:pPr>
        <w:spacing w:after="40"/>
        <w:jc w:val="center"/>
      </w:pPr>
      <w:r>
        <w:rPr>
          <w:b/>
          <w:color w:val="1F497D"/>
          <w:sz w:val="22"/>
        </w:rPr>
        <w:t xml:space="preserve">Empresa responsable:  </w:t>
      </w:r>
      <w:r>
        <w:rPr>
          <w:color w:val="404040"/>
          <w:sz w:val="22"/>
        </w:rPr>
        <w:t>Custodio SpA</w:t>
      </w:r>
    </w:p>
    <w:p>
      <w:pPr>
        <w:spacing w:after="40"/>
        <w:jc w:val="center"/>
      </w:pPr>
      <w:r>
        <w:rPr>
          <w:b/>
          <w:color w:val="1F497D"/>
          <w:sz w:val="22"/>
        </w:rPr>
        <w:t xml:space="preserve">Clasificación:  </w:t>
      </w:r>
      <w:r>
        <w:rPr>
          <w:color w:val="404040"/>
          <w:sz w:val="22"/>
        </w:rPr>
        <w:t>Interno — Confidencial</w:t>
      </w:r>
    </w:p>
    <w:p>
      <w:pPr>
        <w:spacing w:after="40"/>
        <w:jc w:val="center"/>
      </w:pPr>
      <w:r>
        <w:rPr>
          <w:b/>
          <w:color w:val="1F497D"/>
          <w:sz w:val="22"/>
        </w:rPr>
        <w:t xml:space="preserve">Producto:  </w:t>
      </w:r>
      <w:r>
        <w:rPr>
          <w:color w:val="404040"/>
          <w:sz w:val="22"/>
        </w:rPr>
        <w:t>Custodio RAT Manager</w:t>
      </w:r>
    </w:p>
    <w:p>
      <w:pPr>
        <w:spacing w:after="40"/>
        <w:jc w:val="center"/>
      </w:pPr>
      <w:r>
        <w:rPr>
          <w:b/>
          <w:color w:val="1F497D"/>
          <w:sz w:val="22"/>
        </w:rPr>
        <w:t xml:space="preserve">Marco regulatorio:  </w:t>
      </w:r>
      <w:r>
        <w:rPr>
          <w:color w:val="404040"/>
          <w:sz w:val="22"/>
        </w:rPr>
        <w:t>Ley N.° 21.719 — Chile</w:t>
      </w:r>
    </w:p>
    <w:p/>
    <w:p/>
    <w:p>
      <w:pPr>
        <w:jc w:val="center"/>
        <w:pBdr>
          <w:top w:val="single" w:sz="16" w:space="4" w:color="1F497D"/>
          <w:left w:val="single" w:sz="16" w:space="4" w:color="1F497D"/>
          <w:bottom w:val="single" w:sz="16" w:space="4" w:color="1F497D"/>
          <w:right w:val="single" w:sz="16" w:space="4" w:color="1F497D"/>
        </w:pBdr>
        <w:shd w:val="clear" w:color="auto" w:fill="1F497D"/>
      </w:pPr>
      <w:r>
        <w:rPr>
          <w:b/>
          <w:color w:val="FFFFFF"/>
          <w:sz w:val="20"/>
        </w:rPr>
        <w:t xml:space="preserve">  CUMPLIMIENTO DE LA LEY 21.719 DE PROTECCIÓN DE DATOS PERSONALES DE CHILE  </w:t>
      </w:r>
    </w:p>
    <w:p>
      <w:r>
        <w:br w:type="page"/>
      </w:r>
    </w:p>
    <w:p>
      <w:pPr>
        <w:pStyle w:val="Heading1"/>
      </w:pPr>
      <w:r>
        <w:t>Control de versiones</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4"/>
            <w:shd w:val="clear" w:color="auto" w:fill="1F497D"/>
          </w:tcPr>
          <w:p>
            <w:r/>
            <w:r>
              <w:rPr>
                <w:b/>
                <w:color w:val="FFFFFF"/>
              </w:rPr>
              <w:t>Versión</w:t>
            </w:r>
          </w:p>
        </w:tc>
        <w:tc>
          <w:tcPr>
            <w:tcW w:type="dxa" w:w="2494"/>
            <w:shd w:val="clear" w:color="auto" w:fill="1F497D"/>
          </w:tcPr>
          <w:p>
            <w:r/>
            <w:r>
              <w:rPr>
                <w:b/>
                <w:color w:val="FFFFFF"/>
              </w:rPr>
              <w:t>Fecha</w:t>
            </w:r>
          </w:p>
        </w:tc>
        <w:tc>
          <w:tcPr>
            <w:tcW w:type="dxa" w:w="2494"/>
            <w:shd w:val="clear" w:color="auto" w:fill="1F497D"/>
          </w:tcPr>
          <w:p>
            <w:r/>
            <w:r>
              <w:rPr>
                <w:b/>
                <w:color w:val="FFFFFF"/>
              </w:rPr>
              <w:t>Autor</w:t>
            </w:r>
          </w:p>
        </w:tc>
        <w:tc>
          <w:tcPr>
            <w:tcW w:type="dxa" w:w="2489"/>
            <w:shd w:val="clear" w:color="auto" w:fill="1F497D"/>
          </w:tcPr>
          <w:p>
            <w:r/>
            <w:r>
              <w:rPr>
                <w:b/>
                <w:color w:val="FFFFFF"/>
              </w:rPr>
              <w:t>Cambios</w:t>
            </w:r>
          </w:p>
        </w:tc>
      </w:tr>
      <w:tr>
        <w:tc>
          <w:tcPr>
            <w:tcW w:type="dxa" w:w="2493"/>
          </w:tcPr>
          <w:p>
            <w:r>
              <w:rPr>
                <w:sz w:val="20"/>
              </w:rPr>
              <w:t>1.0</w:t>
            </w:r>
          </w:p>
        </w:tc>
        <w:tc>
          <w:tcPr>
            <w:tcW w:type="dxa" w:w="2493"/>
          </w:tcPr>
          <w:p>
            <w:r>
              <w:rPr>
                <w:sz w:val="20"/>
              </w:rPr>
              <w:t>Junio 2026</w:t>
            </w:r>
          </w:p>
        </w:tc>
        <w:tc>
          <w:tcPr>
            <w:tcW w:type="dxa" w:w="2493"/>
          </w:tcPr>
          <w:p>
            <w:r>
              <w:rPr>
                <w:sz w:val="20"/>
              </w:rPr>
              <w:t>Equipo de Desarrollo — Custodio</w:t>
            </w:r>
          </w:p>
        </w:tc>
        <w:tc>
          <w:tcPr>
            <w:tcW w:type="dxa" w:w="2493"/>
          </w:tcPr>
          <w:p>
            <w:r>
              <w:rPr>
                <w:sz w:val="20"/>
              </w:rPr>
              <w:t>Creación inicial de la visión del producto, integrando toda la documentación.</w:t>
            </w:r>
          </w:p>
        </w:tc>
      </w:tr>
    </w:tbl>
    <w:p/>
    <w:p>
      <w:pPr>
        <w:pStyle w:val="Heading2"/>
      </w:pPr>
      <w:r>
        <w:t>Estado del documento</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1F497D"/>
          </w:tcPr>
          <w:p>
            <w:r/>
            <w:r>
              <w:rPr>
                <w:b/>
                <w:color w:val="FFFFFF"/>
              </w:rPr>
              <w:t>Campo</w:t>
            </w:r>
          </w:p>
        </w:tc>
        <w:tc>
          <w:tcPr>
            <w:tcW w:type="dxa" w:w="4986"/>
            <w:shd w:val="clear" w:color="auto" w:fill="1F497D"/>
          </w:tcPr>
          <w:p>
            <w:r>
              <w:rPr>
                <w:b/>
                <w:color w:val="FFFFFF"/>
              </w:rPr>
              <w:t>Valor</w:t>
            </w:r>
          </w:p>
        </w:tc>
      </w:tr>
      <w:tr>
        <w:tc>
          <w:tcPr>
            <w:tcW w:type="dxa" w:w="4986"/>
          </w:tcPr>
          <w:p>
            <w:r>
              <w:rPr>
                <w:sz w:val="20"/>
              </w:rPr>
              <w:t>Nombre</w:t>
            </w:r>
          </w:p>
        </w:tc>
        <w:tc>
          <w:tcPr>
            <w:tcW w:type="dxa" w:w="4986"/>
          </w:tcPr>
          <w:p>
            <w:r>
              <w:rPr>
                <w:sz w:val="20"/>
              </w:rPr>
              <w:t>Visión del Producto</w:t>
            </w:r>
          </w:p>
        </w:tc>
      </w:tr>
      <w:tr>
        <w:tc>
          <w:tcPr>
            <w:tcW w:type="dxa" w:w="4986"/>
          </w:tcPr>
          <w:p>
            <w:r>
              <w:rPr>
                <w:sz w:val="20"/>
              </w:rPr>
              <w:t>Producto</w:t>
            </w:r>
          </w:p>
        </w:tc>
        <w:tc>
          <w:tcPr>
            <w:tcW w:type="dxa" w:w="4986"/>
          </w:tcPr>
          <w:p>
            <w:r>
              <w:rPr>
                <w:sz w:val="20"/>
              </w:rPr>
              <w:t>Custodio RAT Manager</w:t>
            </w:r>
          </w:p>
        </w:tc>
      </w:tr>
      <w:tr>
        <w:tc>
          <w:tcPr>
            <w:tcW w:type="dxa" w:w="4986"/>
          </w:tcPr>
          <w:p>
            <w:r>
              <w:rPr>
                <w:sz w:val="20"/>
              </w:rPr>
              <w:t>Marco regulatorio</w:t>
            </w:r>
          </w:p>
        </w:tc>
        <w:tc>
          <w:tcPr>
            <w:tcW w:type="dxa" w:w="4986"/>
          </w:tcPr>
          <w:p>
            <w:r>
              <w:rPr>
                <w:sz w:val="20"/>
              </w:rPr>
              <w:t>Ley N.° 21.719 de Protección de Datos Personales (Chile)</w:t>
            </w:r>
          </w:p>
        </w:tc>
      </w:tr>
    </w:tbl>
    <w:p>
      <w:r>
        <w:br w:type="page"/>
      </w:r>
    </w:p>
    <w:p>
      <w:pPr>
        <w:pStyle w:val="Heading1"/>
      </w:pPr>
      <w:r>
        <w:t>Tabla de contenido</w:t>
      </w:r>
    </w:p>
    <w:p>
      <w:r>
        <w:fldChar w:fldCharType="begin"/>
        <w:instrText xml:space="preserve">TOC \o "1-3" \h \z \u</w:instrText>
        <w:fldChar w:fldCharType="separate"/>
        <w:fldChar w:fldCharType="end"/>
      </w:r>
    </w:p>
    <w:p>
      <w:r>
        <w:rPr>
          <w:i/>
          <w:color w:val="808080"/>
          <w:sz w:val="18"/>
        </w:rPr>
        <w:t>Sugerencia: en Microsoft Word, presione F9 sobre la tabla para actualizar el contenido y los números de página.</w:t>
      </w:r>
    </w:p>
    <w:p>
      <w:r>
        <w:br w:type="page"/>
      </w:r>
    </w:p>
    <w:p>
      <w:pPr>
        <w:pStyle w:val="Heading1"/>
      </w:pPr>
      <w:r>
        <w:t>1. Introducción</w:t>
      </w:r>
    </w:p>
    <w:p>
      <w:r>
        <w:rPr>
          <w:sz w:val="22"/>
        </w:rPr>
        <w:t>Custodio RAT Manager es un sistema de gestión del Registro de Actividades de Tratamiento (RAT) diseñado para que las organizaciones chilenas cumplan con la Ley N.° 21.719 de Protección de Datos Personales de manera práctica, trazable y demostrable.</w:t>
      </w:r>
    </w:p>
    <w:p>
      <w:r>
        <w:rPr>
          <w:sz w:val="22"/>
        </w:rPr>
        <w:t>La Ley 21.719, publicada el 13 de diciembre de 2024, moderniza la antigua Ley 19.628, crea la Agencia de Protección de Datos Personales (APDC) y fija una entrada en vigencia general para el 1 de diciembre de 2026. Si bien la ley no establece de manera expresa la obligatoriedad del RAT, su artículo 14 ter fija información específica que los responsables deben publicar sobre cada tratamiento. En la práctica, el RAT es el mecanismo más adecuado para acreditar cumplimiento y es el primer documento que exigirá la APDC ante una fiscalización.</w:t>
      </w:r>
    </w:p>
    <w:p>
      <w:pPr>
        <w:pStyle w:val="Heading1"/>
      </w:pPr>
      <w:r>
        <w:t>2. Problema que resuelve</w:t>
      </w:r>
    </w:p>
    <w:p>
      <w:r>
        <w:rPr>
          <w:sz w:val="22"/>
        </w:rPr>
        <w:t>Antes de Custodio, las organizaciones chilenas enfrentaban tres problemas críticos:</w:t>
      </w:r>
    </w:p>
    <w:p>
      <w:r>
        <w:rPr>
          <w:b/>
          <w:sz w:val="22"/>
        </w:rPr>
        <w:t>Cumplimiento complejo y disperso.</w:t>
      </w:r>
    </w:p>
    <w:p>
      <w:r>
        <w:rPr>
          <w:sz w:val="22"/>
        </w:rPr>
        <w:t>La Ley 21.719 exige documentar para cada tratamiento: nombre, descripción, finalidad, base legal, categorías de titulares, categorías de datos, fuente, plazo de retención, destinatarios, transferencias internacionales, medidas de seguridad, EIPD, etc. Llenar esto a mano en planillas o documentos Word conduce a errores, omisiones y atrasos.</w:t>
      </w:r>
    </w:p>
    <w:p>
      <w:r>
        <w:rPr>
          <w:b/>
          <w:sz w:val="22"/>
        </w:rPr>
        <w:t>Plazos legales críticos fáciles de olvidar.</w:t>
      </w:r>
    </w:p>
    <w:p>
      <w:r>
        <w:rPr>
          <w:sz w:val="22"/>
        </w:rPr>
        <w:t>La ley establece plazos fatales: 72 horas para notificar una brecha a la APDC (Art. 14 bis), 5 días hábiles para responder derechos ARCO, 30 días para completar una EIPD, etc. Sin un sistema que alerte, es facilísimo no cumplirlos.</w:t>
      </w:r>
    </w:p>
    <w:p>
      <w:r>
        <w:rPr>
          <w:b/>
          <w:sz w:val="22"/>
        </w:rPr>
        <w:t>Evidencia de cumplimiento difícil de demostrar.</w:t>
      </w:r>
    </w:p>
    <w:p>
      <w:r>
        <w:rPr>
          <w:sz w:val="22"/>
        </w:rPr>
        <w:t>Cuando la APDC fiscaliza o cuando un titular ejerce derechos, la organización debe demostrar que cumple. Un PDF o un Word suelto no es evidencia trazable. Hace falta un sistema con bitácora, auditoría, versionamiento y exportabilidad.</w:t>
      </w:r>
    </w:p>
    <w:p>
      <w:pPr>
        <w:pStyle w:val="Heading1"/>
      </w:pPr>
      <w:r>
        <w:t>3. Objetivos del negocio</w:t>
      </w:r>
    </w:p>
    <w:p>
      <w:r>
        <w:rPr>
          <w:sz w:val="22"/>
        </w:rPr>
        <w:t>Los objetivos que Custodio persigue son:</w:t>
      </w:r>
    </w:p>
    <w:tbl>
      <w:tblPr>
        <w:tblStyle w:val="TableGrid"/>
        <w:tblW w:type="auto" w:w="0"/>
        <w:jc w:val="left"/>
        <w:tblLook w:firstColumn="1" w:firstRow="1" w:lastColumn="0" w:lastRow="0" w:noHBand="0" w:noVBand="1" w:val="04A0"/>
      </w:tblPr>
      <w:tblGrid>
        <w:gridCol w:w="3324"/>
        <w:gridCol w:w="3324"/>
        <w:gridCol w:w="3324"/>
      </w:tblGrid>
      <w:tr>
        <w:tc>
          <w:tcPr>
            <w:tcW w:type="dxa" w:w="794"/>
            <w:shd w:val="clear" w:color="auto" w:fill="D9E2F3"/>
            <w:vAlign w:val="center"/>
          </w:tcPr>
          <w:p>
            <w:r/>
            <w:r>
              <w:rPr>
                <w:b/>
                <w:color w:val="1F497D"/>
                <w:sz w:val="20"/>
              </w:rPr>
              <w:t>ID</w:t>
            </w:r>
          </w:p>
        </w:tc>
        <w:tc>
          <w:tcPr>
            <w:tcW w:type="dxa" w:w="5102"/>
            <w:shd w:val="clear" w:color="auto" w:fill="D9E2F3"/>
            <w:vAlign w:val="center"/>
          </w:tcPr>
          <w:p>
            <w:r/>
            <w:r>
              <w:rPr>
                <w:b/>
                <w:color w:val="1F497D"/>
                <w:sz w:val="20"/>
              </w:rPr>
              <w:t>Objetivo</w:t>
            </w:r>
          </w:p>
        </w:tc>
        <w:tc>
          <w:tcPr>
            <w:tcW w:type="dxa" w:w="4025"/>
            <w:shd w:val="clear" w:color="auto" w:fill="D9E2F3"/>
            <w:vAlign w:val="center"/>
          </w:tcPr>
          <w:p>
            <w:r/>
            <w:r>
              <w:rPr>
                <w:b/>
                <w:color w:val="1F497D"/>
                <w:sz w:val="20"/>
              </w:rPr>
              <w:t>Métrica</w:t>
            </w:r>
          </w:p>
        </w:tc>
      </w:tr>
      <w:tr>
        <w:tc>
          <w:tcPr>
            <w:tcW w:type="dxa" w:w="794"/>
            <w:vAlign w:val="top"/>
          </w:tcPr>
          <w:p>
            <w:r/>
            <w:r>
              <w:rPr>
                <w:b/>
                <w:sz w:val="20"/>
              </w:rPr>
              <w:t>ON-01</w:t>
            </w:r>
          </w:p>
        </w:tc>
        <w:tc>
          <w:tcPr>
            <w:tcW w:type="dxa" w:w="5102"/>
            <w:vAlign w:val="top"/>
          </w:tcPr>
          <w:p>
            <w:r/>
            <w:r>
              <w:rPr>
                <w:sz w:val="20"/>
              </w:rPr>
              <w:t>Reducir de 2 días a 15 minutos el tiempo de documentación de un RAT.</w:t>
            </w:r>
          </w:p>
        </w:tc>
        <w:tc>
          <w:tcPr>
            <w:tcW w:type="dxa" w:w="4025"/>
            <w:vAlign w:val="top"/>
          </w:tcPr>
          <w:p>
            <w:r/>
            <w:r>
              <w:rPr>
                <w:sz w:val="20"/>
              </w:rPr>
              <w:t>KPI: tiempo medio de creación de RAT &lt; 15 min.</w:t>
            </w:r>
          </w:p>
        </w:tc>
      </w:tr>
      <w:tr>
        <w:tc>
          <w:tcPr>
            <w:tcW w:type="dxa" w:w="794"/>
            <w:vAlign w:val="top"/>
          </w:tcPr>
          <w:p>
            <w:r/>
            <w:r>
              <w:rPr>
                <w:b/>
                <w:sz w:val="20"/>
              </w:rPr>
              <w:t>ON-02</w:t>
            </w:r>
          </w:p>
        </w:tc>
        <w:tc>
          <w:tcPr>
            <w:tcW w:type="dxa" w:w="5102"/>
            <w:vAlign w:val="top"/>
          </w:tcPr>
          <w:p>
            <w:r/>
            <w:r>
              <w:rPr>
                <w:sz w:val="20"/>
              </w:rPr>
              <w:t>Garantizar el cumplimiento de los plazos legales (72h APDC, 5 días ARCO, etc.).</w:t>
            </w:r>
          </w:p>
        </w:tc>
        <w:tc>
          <w:tcPr>
            <w:tcW w:type="dxa" w:w="4025"/>
            <w:vAlign w:val="top"/>
          </w:tcPr>
          <w:p>
            <w:r/>
            <w:r>
              <w:rPr>
                <w:sz w:val="20"/>
              </w:rPr>
              <w:t>KPI: 100% de alertas generadas a tiempo.</w:t>
            </w:r>
          </w:p>
        </w:tc>
      </w:tr>
      <w:tr>
        <w:tc>
          <w:tcPr>
            <w:tcW w:type="dxa" w:w="794"/>
            <w:vAlign w:val="top"/>
          </w:tcPr>
          <w:p>
            <w:r/>
            <w:r>
              <w:rPr>
                <w:b/>
                <w:sz w:val="20"/>
              </w:rPr>
              <w:t>ON-03</w:t>
            </w:r>
          </w:p>
        </w:tc>
        <w:tc>
          <w:tcPr>
            <w:tcW w:type="dxa" w:w="5102"/>
            <w:vAlign w:val="top"/>
          </w:tcPr>
          <w:p>
            <w:r/>
            <w:r>
              <w:rPr>
                <w:sz w:val="20"/>
              </w:rPr>
              <w:t>Demostrar cumplimiento ante la APDC con un clic.</w:t>
            </w:r>
          </w:p>
        </w:tc>
        <w:tc>
          <w:tcPr>
            <w:tcW w:type="dxa" w:w="4025"/>
            <w:vAlign w:val="top"/>
          </w:tcPr>
          <w:p>
            <w:r/>
            <w:r>
              <w:rPr>
                <w:sz w:val="20"/>
              </w:rPr>
              <w:t>KPI: tiempo de generación de evidencia &lt; 5 min.</w:t>
            </w:r>
          </w:p>
        </w:tc>
      </w:tr>
      <w:tr>
        <w:tc>
          <w:tcPr>
            <w:tcW w:type="dxa" w:w="794"/>
            <w:vAlign w:val="top"/>
          </w:tcPr>
          <w:p>
            <w:r/>
            <w:r>
              <w:rPr>
                <w:b/>
                <w:sz w:val="20"/>
              </w:rPr>
              <w:t>ON-04</w:t>
            </w:r>
          </w:p>
        </w:tc>
        <w:tc>
          <w:tcPr>
            <w:tcW w:type="dxa" w:w="5102"/>
            <w:vAlign w:val="top"/>
          </w:tcPr>
          <w:p>
            <w:r/>
            <w:r>
              <w:rPr>
                <w:sz w:val="20"/>
              </w:rPr>
              <w:t>Reducir la dependencia de abogados y consultores para tareas operativas.</w:t>
            </w:r>
          </w:p>
        </w:tc>
        <w:tc>
          <w:tcPr>
            <w:tcW w:type="dxa" w:w="4025"/>
            <w:vAlign w:val="top"/>
          </w:tcPr>
          <w:p>
            <w:r/>
            <w:r>
              <w:rPr>
                <w:sz w:val="20"/>
              </w:rPr>
              <w:t>KPI: % de clientes que completan su primer RAT sin asistencia.</w:t>
            </w:r>
          </w:p>
        </w:tc>
      </w:tr>
      <w:tr>
        <w:tc>
          <w:tcPr>
            <w:tcW w:type="dxa" w:w="794"/>
            <w:vAlign w:val="top"/>
          </w:tcPr>
          <w:p>
            <w:r/>
            <w:r>
              <w:rPr>
                <w:b/>
                <w:sz w:val="20"/>
              </w:rPr>
              <w:t>ON-05</w:t>
            </w:r>
          </w:p>
        </w:tc>
        <w:tc>
          <w:tcPr>
            <w:tcW w:type="dxa" w:w="5102"/>
            <w:vAlign w:val="top"/>
          </w:tcPr>
          <w:p>
            <w:r/>
            <w:r>
              <w:rPr>
                <w:sz w:val="20"/>
              </w:rPr>
              <w:t>Posicionar a Custodio como el estándar de facto del mercado chileno antes de la fecha de entrada en vigencia (1-dic-2026).</w:t>
            </w:r>
          </w:p>
        </w:tc>
        <w:tc>
          <w:tcPr>
            <w:tcW w:type="dxa" w:w="4025"/>
            <w:vAlign w:val="top"/>
          </w:tcPr>
          <w:p>
            <w:r/>
            <w:r>
              <w:rPr>
                <w:sz w:val="20"/>
              </w:rPr>
              <w:t>KPI: N° de empresas activas y N° de RATs creados.</w:t>
            </w:r>
          </w:p>
        </w:tc>
      </w:tr>
    </w:tbl>
    <w:p>
      <w:pPr>
        <w:pStyle w:val="Heading1"/>
      </w:pPr>
      <w:r>
        <w:t>4. Público objetivo</w:t>
      </w:r>
    </w:p>
    <w:p>
      <w:pPr>
        <w:spacing w:before="80" w:after="40"/>
      </w:pPr>
      <w:r>
        <w:rPr>
          <w:b/>
          <w:i/>
          <w:color w:val="1F497D"/>
          <w:sz w:val="18"/>
        </w:rPr>
        <w:t xml:space="preserve">Tabla 1 — </w:t>
      </w:r>
      <w:r>
        <w:rPr>
          <w:i/>
          <w:color w:val="404040"/>
          <w:sz w:val="18"/>
        </w:rPr>
        <w:t>Segmentos de clientes objetivo</w:t>
      </w:r>
    </w:p>
    <w:tbl>
      <w:tblPr>
        <w:tblStyle w:val="TableGrid"/>
        <w:tblW w:type="auto" w:w="0"/>
        <w:jc w:val="left"/>
        <w:tblLook w:firstColumn="1" w:firstRow="1" w:lastColumn="0" w:lastRow="0" w:noHBand="0" w:noVBand="1" w:val="04A0"/>
      </w:tblPr>
      <w:tblGrid>
        <w:gridCol w:w="4986"/>
        <w:gridCol w:w="4986"/>
      </w:tblGrid>
      <w:tr>
        <w:tc>
          <w:tcPr>
            <w:tcW w:type="dxa" w:w="2835"/>
            <w:shd w:val="clear" w:color="auto" w:fill="D9E2F3"/>
            <w:vAlign w:val="center"/>
          </w:tcPr>
          <w:p>
            <w:r/>
            <w:r>
              <w:rPr>
                <w:b/>
                <w:color w:val="1F497D"/>
                <w:sz w:val="20"/>
              </w:rPr>
              <w:t>Segmento</w:t>
            </w:r>
          </w:p>
        </w:tc>
        <w:tc>
          <w:tcPr>
            <w:tcW w:type="dxa" w:w="7087"/>
            <w:shd w:val="clear" w:color="auto" w:fill="D9E2F3"/>
            <w:vAlign w:val="center"/>
          </w:tcPr>
          <w:p>
            <w:r/>
            <w:r>
              <w:rPr>
                <w:b/>
                <w:color w:val="1F497D"/>
                <w:sz w:val="20"/>
              </w:rPr>
              <w:t>Necesidades específicas</w:t>
            </w:r>
          </w:p>
        </w:tc>
      </w:tr>
      <w:tr>
        <w:tc>
          <w:tcPr>
            <w:tcW w:type="dxa" w:w="2835"/>
            <w:vAlign w:val="top"/>
          </w:tcPr>
          <w:p>
            <w:r/>
            <w:r>
              <w:rPr>
                <w:b/>
                <w:sz w:val="20"/>
              </w:rPr>
              <w:t>Grandes empresas (1000+ empleados)</w:t>
            </w:r>
          </w:p>
        </w:tc>
        <w:tc>
          <w:tcPr>
            <w:tcW w:type="dxa" w:w="7087"/>
            <w:vAlign w:val="top"/>
          </w:tcPr>
          <w:p>
            <w:r/>
            <w:r>
              <w:rPr>
                <w:sz w:val="20"/>
              </w:rPr>
              <w:t>DPO interno, equipo legal, equipo de TI. Necesitan multi-tenancy, multi-usuario, auditoría robusta y exportación masiva.</w:t>
            </w:r>
          </w:p>
        </w:tc>
      </w:tr>
      <w:tr>
        <w:tc>
          <w:tcPr>
            <w:tcW w:type="dxa" w:w="2835"/>
            <w:vAlign w:val="top"/>
          </w:tcPr>
          <w:p>
            <w:r/>
            <w:r>
              <w:rPr>
                <w:b/>
                <w:sz w:val="20"/>
              </w:rPr>
              <w:t>Medianas empresas (100-1000 empleados)</w:t>
            </w:r>
          </w:p>
        </w:tc>
        <w:tc>
          <w:tcPr>
            <w:tcW w:type="dxa" w:w="7087"/>
            <w:vAlign w:val="top"/>
          </w:tcPr>
          <w:p>
            <w:r/>
            <w:r>
              <w:rPr>
                <w:sz w:val="20"/>
              </w:rPr>
              <w:t>Gerente legal o administrativo oficiando de DPO. Necesitan simplicidad, plantillas por rubro y alertas.</w:t>
            </w:r>
          </w:p>
        </w:tc>
      </w:tr>
      <w:tr>
        <w:tc>
          <w:tcPr>
            <w:tcW w:type="dxa" w:w="2835"/>
            <w:vAlign w:val="top"/>
          </w:tcPr>
          <w:p>
            <w:r/>
            <w:r>
              <w:rPr>
                <w:b/>
                <w:sz w:val="20"/>
              </w:rPr>
              <w:t>Pequeñas empresas (&lt; 100 empleados)</w:t>
            </w:r>
          </w:p>
        </w:tc>
        <w:tc>
          <w:tcPr>
            <w:tcW w:type="dxa" w:w="7087"/>
            <w:vAlign w:val="top"/>
          </w:tcPr>
          <w:p>
            <w:r/>
            <w:r>
              <w:rPr>
                <w:sz w:val="20"/>
              </w:rPr>
              <w:t>Empresas de sectores altamente regulados (salud, financiero, educación). Necesitan una solución accesible y rápida de implementar.</w:t>
            </w:r>
          </w:p>
        </w:tc>
      </w:tr>
      <w:tr>
        <w:tc>
          <w:tcPr>
            <w:tcW w:type="dxa" w:w="2835"/>
            <w:vAlign w:val="top"/>
          </w:tcPr>
          <w:p>
            <w:r/>
            <w:r>
              <w:rPr>
                <w:b/>
                <w:sz w:val="20"/>
              </w:rPr>
              <w:t>Consultoras y estudios jurídicos</w:t>
            </w:r>
          </w:p>
        </w:tc>
        <w:tc>
          <w:tcPr>
            <w:tcW w:type="dxa" w:w="7087"/>
            <w:vAlign w:val="top"/>
          </w:tcPr>
          <w:p>
            <w:r/>
            <w:r>
              <w:rPr>
                <w:sz w:val="20"/>
              </w:rPr>
              <w:t>Revenden el servicio a sus clientes. Necesitan visibilidad multi-tenant y reportes agregados.</w:t>
            </w:r>
          </w:p>
        </w:tc>
      </w:tr>
    </w:tbl>
    <w:p>
      <w:pPr>
        <w:pStyle w:val="Heading1"/>
      </w:pPr>
      <w:r>
        <w:t>5. Propuesta de valor</w:t>
      </w:r>
    </w:p>
    <w:p>
      <w:r>
        <w:rPr>
          <w:sz w:val="22"/>
        </w:rPr>
        <w:t>Custodio entrega a las organizaciones chilenas un sistema integral para gestionar el cumplimiento de la Ley 21.719 de Protección de Datos Personales, que reduce el tiempo de documentación de un RAT de días a minutos, alerta automáticamente sobre plazos legales críticos y genera evidencia auditable para la APDC con un clic.</w:t>
      </w:r>
    </w:p>
    <w:p>
      <w:r>
        <w:rPr>
          <w:b/>
          <w:sz w:val="22"/>
        </w:rPr>
        <w:t>Diferenciadores clave:</w:t>
      </w:r>
    </w:p>
    <w:p>
      <w:pPr>
        <w:pStyle w:val="ListBullet"/>
        <w:spacing w:after="40"/>
        <w:ind w:left="340"/>
      </w:pPr>
      <w:r>
        <w:rPr>
          <w:sz w:val="22"/>
        </w:rPr>
        <w:t>Cumplimiento nativo: el sistema entiende el Art. 16 de la Ley 21.719 y guía al usuario en el llenado de los campos obligatorios.</w:t>
      </w:r>
    </w:p>
    <w:p>
      <w:pPr>
        <w:pStyle w:val="ListBullet"/>
        <w:spacing w:after="40"/>
        <w:ind w:left="340"/>
      </w:pPr>
      <w:r>
        <w:rPr>
          <w:sz w:val="22"/>
        </w:rPr>
        <w:t>Inteligencia aplicada: calcula automáticamente completitud y nivel de riesgo, y alerta sobre plazos legales.</w:t>
      </w:r>
    </w:p>
    <w:p>
      <w:pPr>
        <w:pStyle w:val="ListBullet"/>
        <w:spacing w:after="40"/>
        <w:ind w:left="340"/>
      </w:pPr>
      <w:r>
        <w:rPr>
          <w:sz w:val="22"/>
        </w:rPr>
        <w:t>Evidencia en 1 clic: exporta el RAT en CSV, PDF y formato CNI (compatible con APDC).</w:t>
      </w:r>
    </w:p>
    <w:p>
      <w:pPr>
        <w:pStyle w:val="ListBullet"/>
        <w:spacing w:after="40"/>
        <w:ind w:left="340"/>
      </w:pPr>
      <w:r>
        <w:rPr>
          <w:sz w:val="22"/>
        </w:rPr>
        <w:t>Multi-tenant real: una sola instancia sirve a múltiples empresas con aislamiento total.</w:t>
      </w:r>
    </w:p>
    <w:p>
      <w:pPr>
        <w:pStyle w:val="ListBullet"/>
        <w:spacing w:after="40"/>
        <w:ind w:left="340"/>
      </w:pPr>
      <w:r>
        <w:rPr>
          <w:sz w:val="22"/>
        </w:rPr>
        <w:t>Especialización por rubro: plantillas pre-llenadas para Salud, Retail, Educación, Financiero, etc.</w:t>
      </w:r>
    </w:p>
    <w:p>
      <w:pPr>
        <w:pStyle w:val="ListBullet"/>
        <w:spacing w:after="40"/>
        <w:ind w:left="340"/>
      </w:pPr>
      <w:r>
        <w:rPr>
          <w:sz w:val="22"/>
        </w:rPr>
        <w:t>Derechos ARCO end-to-end: formulario público para titulares, ticket automático y respuesta con historial.</w:t>
      </w:r>
    </w:p>
    <w:p>
      <w:pPr>
        <w:pStyle w:val="Heading1"/>
      </w:pPr>
      <w:r>
        <w:t>6. Alcance del producto</w:t>
      </w:r>
    </w:p>
    <w:p>
      <w:r>
        <w:rPr>
          <w:sz w:val="22"/>
        </w:rPr>
        <w:t>Custodio CUBRE:</w:t>
      </w:r>
    </w:p>
    <w:p>
      <w:pPr>
        <w:pStyle w:val="ListBullet"/>
        <w:spacing w:after="40"/>
        <w:ind w:left="340"/>
      </w:pPr>
      <w:r>
        <w:rPr>
          <w:sz w:val="22"/>
        </w:rPr>
        <w:t>Registro de Actividades de Tratamiento (RAT) con los 7 campos obligatorios del Art. 16.</w:t>
      </w:r>
    </w:p>
    <w:p>
      <w:pPr>
        <w:pStyle w:val="ListBullet"/>
        <w:spacing w:after="40"/>
        <w:ind w:left="340"/>
      </w:pPr>
      <w:r>
        <w:rPr>
          <w:sz w:val="22"/>
        </w:rPr>
        <w:t>Gestión de EIPD (Evaluación de Impacto en Protección de Datos) con estados y fechas.</w:t>
      </w:r>
    </w:p>
    <w:p>
      <w:pPr>
        <w:pStyle w:val="ListBullet"/>
        <w:spacing w:after="40"/>
        <w:ind w:left="340"/>
      </w:pPr>
      <w:r>
        <w:rPr>
          <w:sz w:val="22"/>
        </w:rPr>
        <w:t>Gestión de consentimientos por RAT (canal, fecha, revocación).</w:t>
      </w:r>
    </w:p>
    <w:p>
      <w:pPr>
        <w:pStyle w:val="ListBullet"/>
        <w:spacing w:after="40"/>
        <w:ind w:left="340"/>
      </w:pPr>
      <w:r>
        <w:rPr>
          <w:sz w:val="22"/>
        </w:rPr>
        <w:t>Registro de brechas de seguridad con cálculo de plazo APDC 72h.</w:t>
      </w:r>
    </w:p>
    <w:p>
      <w:pPr>
        <w:pStyle w:val="ListBullet"/>
        <w:spacing w:after="40"/>
        <w:ind w:left="340"/>
      </w:pPr>
      <w:r>
        <w:rPr>
          <w:sz w:val="22"/>
        </w:rPr>
        <w:t>Formulario público de derechos ARCO con token anti-bot.</w:t>
      </w:r>
    </w:p>
    <w:p>
      <w:pPr>
        <w:pStyle w:val="ListBullet"/>
        <w:spacing w:after="40"/>
        <w:ind w:left="340"/>
      </w:pPr>
      <w:r>
        <w:rPr>
          <w:sz w:val="22"/>
        </w:rPr>
        <w:t>Tickets de gestión derivados de solicitudes ARCO con notas, adjuntos e historial.</w:t>
      </w:r>
    </w:p>
    <w:p>
      <w:pPr>
        <w:pStyle w:val="ListBullet"/>
        <w:spacing w:after="40"/>
        <w:ind w:left="340"/>
      </w:pPr>
      <w:r>
        <w:rPr>
          <w:sz w:val="22"/>
        </w:rPr>
        <w:t>Generación de plantillas de RAT por rubro.</w:t>
      </w:r>
    </w:p>
    <w:p>
      <w:pPr>
        <w:pStyle w:val="ListBullet"/>
        <w:spacing w:after="40"/>
        <w:ind w:left="340"/>
      </w:pPr>
      <w:r>
        <w:rPr>
          <w:sz w:val="22"/>
        </w:rPr>
        <w:t>Dashboard de cumplimiento con KPIs y alertas.</w:t>
      </w:r>
    </w:p>
    <w:p>
      <w:pPr>
        <w:pStyle w:val="ListBullet"/>
        <w:spacing w:after="40"/>
        <w:ind w:left="340"/>
      </w:pPr>
      <w:r>
        <w:rPr>
          <w:sz w:val="22"/>
        </w:rPr>
        <w:t>Reportes avanzados con filtros, ordenamiento y exportación.</w:t>
      </w:r>
    </w:p>
    <w:p>
      <w:pPr>
        <w:pStyle w:val="ListBullet"/>
        <w:spacing w:after="40"/>
        <w:ind w:left="340"/>
      </w:pPr>
      <w:r>
        <w:rPr>
          <w:sz w:val="22"/>
        </w:rPr>
        <w:t>Exportación PDF, CSV y formato CNI (APDC).</w:t>
      </w:r>
    </w:p>
    <w:p>
      <w:pPr>
        <w:pStyle w:val="ListBullet"/>
        <w:spacing w:after="40"/>
        <w:ind w:left="340"/>
      </w:pPr>
      <w:r>
        <w:rPr>
          <w:sz w:val="22"/>
        </w:rPr>
        <w:t>Gestión multi-empresa con roles (superadmin, admin_empresa, usuario).</w:t>
      </w:r>
    </w:p>
    <w:p>
      <w:pPr>
        <w:pStyle w:val="ListBullet"/>
        <w:spacing w:after="40"/>
        <w:ind w:left="340"/>
      </w:pPr>
      <w:r>
        <w:rPr>
          <w:sz w:val="22"/>
        </w:rPr>
        <w:t>Auditoría inmutable de todas las operaciones CRUD.</w:t>
      </w:r>
    </w:p>
    <w:p>
      <w:pPr>
        <w:pStyle w:val="ListBullet"/>
        <w:spacing w:after="40"/>
        <w:ind w:left="340"/>
      </w:pPr>
      <w:r>
        <w:rPr>
          <w:sz w:val="22"/>
        </w:rPr>
        <w:t>Chat IA contextual sobre la Ley 21.719 (opcional, requiere API key).</w:t>
      </w:r>
    </w:p>
    <w:p>
      <w:pPr>
        <w:pStyle w:val="ListBullet"/>
        <w:spacing w:after="40"/>
        <w:ind w:left="340"/>
      </w:pPr>
      <w:r>
        <w:rPr>
          <w:sz w:val="22"/>
        </w:rPr>
        <w:t>Diagnóstico de conexión del sistema.</w:t>
      </w:r>
    </w:p>
    <w:p>
      <w:pPr>
        <w:pStyle w:val="Heading1"/>
      </w:pPr>
      <w:r>
        <w:t>7. Fuera de alcance (no cubre en MVP)</w:t>
      </w:r>
    </w:p>
    <w:p>
      <w:pPr>
        <w:pStyle w:val="ListBullet"/>
        <w:spacing w:after="40"/>
        <w:ind w:left="340"/>
      </w:pPr>
      <w:r>
        <w:rPr>
          <w:sz w:val="22"/>
        </w:rPr>
        <w:t>Firma digital de aprobación de RAT (eIDAS, FirmaGob).</w:t>
      </w:r>
    </w:p>
    <w:p>
      <w:pPr>
        <w:pStyle w:val="ListBullet"/>
        <w:spacing w:after="40"/>
        <w:ind w:left="340"/>
      </w:pPr>
      <w:r>
        <w:rPr>
          <w:sz w:val="22"/>
        </w:rPr>
        <w:t>Integración directa con la API de la APDC (no existe aún).</w:t>
      </w:r>
    </w:p>
    <w:p>
      <w:pPr>
        <w:pStyle w:val="ListBullet"/>
        <w:spacing w:after="40"/>
        <w:ind w:left="340"/>
      </w:pPr>
      <w:r>
        <w:rPr>
          <w:sz w:val="22"/>
        </w:rPr>
        <w:t>Conectores con sistemas de gestión de clientes (CRM, ERP).</w:t>
      </w:r>
    </w:p>
    <w:p>
      <w:pPr>
        <w:pStyle w:val="ListBullet"/>
        <w:spacing w:after="40"/>
        <w:ind w:left="340"/>
      </w:pPr>
      <w:r>
        <w:rPr>
          <w:sz w:val="22"/>
        </w:rPr>
        <w:t>Multi-idioma del frontend (sólo español en MVP).</w:t>
      </w:r>
    </w:p>
    <w:p>
      <w:pPr>
        <w:pStyle w:val="ListBullet"/>
        <w:spacing w:after="40"/>
        <w:ind w:left="340"/>
      </w:pPr>
      <w:r>
        <w:rPr>
          <w:sz w:val="22"/>
        </w:rPr>
        <w:t>App móvil nativa (la web es responsive).</w:t>
      </w:r>
    </w:p>
    <w:p>
      <w:pPr>
        <w:pStyle w:val="ListBullet"/>
        <w:spacing w:after="40"/>
        <w:ind w:left="340"/>
      </w:pPr>
      <w:r>
        <w:rPr>
          <w:sz w:val="22"/>
        </w:rPr>
        <w:t>Pagos y facturación automatizada.</w:t>
      </w:r>
    </w:p>
    <w:p>
      <w:pPr>
        <w:pStyle w:val="ListBullet"/>
        <w:spacing w:after="40"/>
        <w:ind w:left="340"/>
      </w:pPr>
      <w:r>
        <w:rPr>
          <w:sz w:val="22"/>
        </w:rPr>
        <w:t>Gestión de proveedores (encargados del tratamiento) como entidades independientes.</w:t>
      </w:r>
    </w:p>
    <w:p>
      <w:pPr>
        <w:pStyle w:val="ListBullet"/>
        <w:spacing w:after="40"/>
        <w:ind w:left="340"/>
      </w:pPr>
      <w:r>
        <w:rPr>
          <w:sz w:val="22"/>
        </w:rPr>
        <w:t>DLP (Data Loss Prevention) o análisis de datos en reposo.</w:t>
      </w:r>
    </w:p>
    <w:p>
      <w:pPr>
        <w:pStyle w:val="ListBullet"/>
        <w:spacing w:after="40"/>
        <w:ind w:left="340"/>
      </w:pPr>
      <w:r>
        <w:rPr>
          <w:sz w:val="22"/>
        </w:rPr>
        <w:t>Generador automático de cláusulas contractuales para encargados.</w:t>
      </w:r>
    </w:p>
    <w:p>
      <w:pPr>
        <w:pStyle w:val="Heading1"/>
      </w:pPr>
      <w:r>
        <w:t>8. Beneficios esperados</w:t>
      </w:r>
    </w:p>
    <w:p>
      <w:pPr>
        <w:spacing w:before="80" w:after="40"/>
      </w:pPr>
      <w:r>
        <w:rPr>
          <w:b/>
          <w:i/>
          <w:color w:val="1F497D"/>
          <w:sz w:val="18"/>
        </w:rPr>
        <w:t xml:space="preserve">Tabla 2 — </w:t>
      </w:r>
      <w:r>
        <w:rPr>
          <w:i/>
          <w:color w:val="404040"/>
          <w:sz w:val="18"/>
        </w:rPr>
        <w:t>Beneficios cuantificables esperados</w:t>
      </w:r>
    </w:p>
    <w:tbl>
      <w:tblPr>
        <w:tblStyle w:val="TableGrid"/>
        <w:tblW w:type="auto" w:w="0"/>
        <w:jc w:val="left"/>
        <w:tblLook w:firstColumn="1" w:firstRow="1" w:lastColumn="0" w:lastRow="0" w:noHBand="0" w:noVBand="1" w:val="04A0"/>
      </w:tblPr>
      <w:tblGrid>
        <w:gridCol w:w="4986"/>
        <w:gridCol w:w="4986"/>
      </w:tblGrid>
      <w:tr>
        <w:tc>
          <w:tcPr>
            <w:tcW w:type="dxa" w:w="2835"/>
            <w:shd w:val="clear" w:color="auto" w:fill="D9E2F3"/>
            <w:vAlign w:val="center"/>
          </w:tcPr>
          <w:p>
            <w:r/>
            <w:r>
              <w:rPr>
                <w:b/>
                <w:color w:val="1F497D"/>
                <w:sz w:val="20"/>
              </w:rPr>
              <w:t>Beneficio</w:t>
            </w:r>
          </w:p>
        </w:tc>
        <w:tc>
          <w:tcPr>
            <w:tcW w:type="dxa" w:w="7087"/>
            <w:shd w:val="clear" w:color="auto" w:fill="D9E2F3"/>
            <w:vAlign w:val="center"/>
          </w:tcPr>
          <w:p>
            <w:r/>
            <w:r>
              <w:rPr>
                <w:b/>
                <w:color w:val="1F497D"/>
                <w:sz w:val="20"/>
              </w:rPr>
              <w:t>Métrica esperada</w:t>
            </w:r>
          </w:p>
        </w:tc>
      </w:tr>
      <w:tr>
        <w:tc>
          <w:tcPr>
            <w:tcW w:type="dxa" w:w="2835"/>
            <w:vAlign w:val="top"/>
          </w:tcPr>
          <w:p>
            <w:r/>
            <w:r>
              <w:rPr>
                <w:b/>
                <w:sz w:val="20"/>
              </w:rPr>
              <w:t>Ahorro de tiempo</w:t>
            </w:r>
          </w:p>
        </w:tc>
        <w:tc>
          <w:tcPr>
            <w:tcW w:type="dxa" w:w="7087"/>
            <w:vAlign w:val="top"/>
          </w:tcPr>
          <w:p>
            <w:r/>
            <w:r>
              <w:rPr>
                <w:sz w:val="20"/>
              </w:rPr>
              <w:t>Reducir la documentación de un RAT de 2 días a 15 minutos (~95%).</w:t>
            </w:r>
          </w:p>
        </w:tc>
      </w:tr>
      <w:tr>
        <w:tc>
          <w:tcPr>
            <w:tcW w:type="dxa" w:w="2835"/>
            <w:vAlign w:val="top"/>
          </w:tcPr>
          <w:p>
            <w:r/>
            <w:r>
              <w:rPr>
                <w:b/>
                <w:sz w:val="20"/>
              </w:rPr>
              <w:t>Reducción de multas</w:t>
            </w:r>
          </w:p>
        </w:tc>
        <w:tc>
          <w:tcPr>
            <w:tcW w:type="dxa" w:w="7087"/>
            <w:vAlign w:val="top"/>
          </w:tcPr>
          <w:p>
            <w:r/>
            <w:r>
              <w:rPr>
                <w:sz w:val="20"/>
              </w:rPr>
              <w:t>Evitar multas de hasta 20.000 UTM (~USD 1.550.000) por infracciones gravísimas.</w:t>
            </w:r>
          </w:p>
        </w:tc>
      </w:tr>
      <w:tr>
        <w:tc>
          <w:tcPr>
            <w:tcW w:type="dxa" w:w="2835"/>
            <w:vAlign w:val="top"/>
          </w:tcPr>
          <w:p>
            <w:r/>
            <w:r>
              <w:rPr>
                <w:b/>
                <w:sz w:val="20"/>
              </w:rPr>
              <w:t>Productividad del DPO</w:t>
            </w:r>
          </w:p>
        </w:tc>
        <w:tc>
          <w:tcPr>
            <w:tcW w:type="dxa" w:w="7087"/>
            <w:vAlign w:val="top"/>
          </w:tcPr>
          <w:p>
            <w:r/>
            <w:r>
              <w:rPr>
                <w:sz w:val="20"/>
              </w:rPr>
              <w:t>Reducir 60% del tiempo dedicado a tareas administrativas.</w:t>
            </w:r>
          </w:p>
        </w:tc>
      </w:tr>
      <w:tr>
        <w:tc>
          <w:tcPr>
            <w:tcW w:type="dxa" w:w="2835"/>
            <w:vAlign w:val="top"/>
          </w:tcPr>
          <w:p>
            <w:r/>
            <w:r>
              <w:rPr>
                <w:b/>
                <w:sz w:val="20"/>
              </w:rPr>
              <w:t>Trazabilidad</w:t>
            </w:r>
          </w:p>
        </w:tc>
        <w:tc>
          <w:tcPr>
            <w:tcW w:type="dxa" w:w="7087"/>
            <w:vAlign w:val="top"/>
          </w:tcPr>
          <w:p>
            <w:r/>
            <w:r>
              <w:rPr>
                <w:sz w:val="20"/>
              </w:rPr>
              <w:t>Bitácora completa de cambios con usuario, IP y timestamp.</w:t>
            </w:r>
          </w:p>
        </w:tc>
      </w:tr>
      <w:tr>
        <w:tc>
          <w:tcPr>
            <w:tcW w:type="dxa" w:w="2835"/>
            <w:vAlign w:val="top"/>
          </w:tcPr>
          <w:p>
            <w:r/>
            <w:r>
              <w:rPr>
                <w:b/>
                <w:sz w:val="20"/>
              </w:rPr>
              <w:t>Evidencia</w:t>
            </w:r>
          </w:p>
        </w:tc>
        <w:tc>
          <w:tcPr>
            <w:tcW w:type="dxa" w:w="7087"/>
            <w:vAlign w:val="top"/>
          </w:tcPr>
          <w:p>
            <w:r/>
            <w:r>
              <w:rPr>
                <w:sz w:val="20"/>
              </w:rPr>
              <w:t>Exportación instantánea a PDF/CSV/CNI en menos de 1 minuto.</w:t>
            </w:r>
          </w:p>
        </w:tc>
      </w:tr>
      <w:tr>
        <w:tc>
          <w:tcPr>
            <w:tcW w:type="dxa" w:w="2835"/>
            <w:vAlign w:val="top"/>
          </w:tcPr>
          <w:p>
            <w:r/>
            <w:r>
              <w:rPr>
                <w:b/>
                <w:sz w:val="20"/>
              </w:rPr>
              <w:t>Alertas proactivas</w:t>
            </w:r>
          </w:p>
        </w:tc>
        <w:tc>
          <w:tcPr>
            <w:tcW w:type="dxa" w:w="7087"/>
            <w:vAlign w:val="top"/>
          </w:tcPr>
          <w:p>
            <w:r/>
            <w:r>
              <w:rPr>
                <w:sz w:val="20"/>
              </w:rPr>
              <w:t>0 brechas con plazo APDC vencido por olvido (vs. realidad actual).</w:t>
            </w:r>
          </w:p>
        </w:tc>
      </w:tr>
    </w:tbl>
    <w:p>
      <w:pPr>
        <w:pStyle w:val="Heading1"/>
      </w:pPr>
      <w:r>
        <w:t>9. Riesgos</w:t>
      </w:r>
    </w:p>
    <w:p>
      <w:pPr>
        <w:spacing w:before="80" w:after="40"/>
      </w:pPr>
      <w:r>
        <w:rPr>
          <w:b/>
          <w:i/>
          <w:color w:val="1F497D"/>
          <w:sz w:val="18"/>
        </w:rPr>
        <w:t xml:space="preserve">Tabla 3 — </w:t>
      </w:r>
      <w:r>
        <w:rPr>
          <w:i/>
          <w:color w:val="404040"/>
          <w:sz w:val="18"/>
        </w:rPr>
        <w:t>Riesgos del producto y mitigaciones</w:t>
      </w:r>
    </w:p>
    <w:tbl>
      <w:tblPr>
        <w:tblStyle w:val="TableGrid"/>
        <w:tblW w:type="auto" w:w="0"/>
        <w:jc w:val="left"/>
        <w:tblLook w:firstColumn="1" w:firstRow="1" w:lastColumn="0" w:lastRow="0" w:noHBand="0" w:noVBand="1" w:val="04A0"/>
      </w:tblPr>
      <w:tblGrid>
        <w:gridCol w:w="3324"/>
        <w:gridCol w:w="3324"/>
        <w:gridCol w:w="3324"/>
      </w:tblGrid>
      <w:tr>
        <w:tc>
          <w:tcPr>
            <w:tcW w:type="dxa" w:w="1984"/>
            <w:shd w:val="clear" w:color="auto" w:fill="D9E2F3"/>
            <w:vAlign w:val="center"/>
          </w:tcPr>
          <w:p>
            <w:r/>
            <w:r>
              <w:rPr>
                <w:b/>
                <w:color w:val="1F497D"/>
                <w:sz w:val="20"/>
              </w:rPr>
              <w:t>Tipo</w:t>
            </w:r>
          </w:p>
        </w:tc>
        <w:tc>
          <w:tcPr>
            <w:tcW w:type="dxa" w:w="3685"/>
            <w:shd w:val="clear" w:color="auto" w:fill="D9E2F3"/>
            <w:vAlign w:val="center"/>
          </w:tcPr>
          <w:p>
            <w:r/>
            <w:r>
              <w:rPr>
                <w:b/>
                <w:color w:val="1F497D"/>
                <w:sz w:val="20"/>
              </w:rPr>
              <w:t>Descripción</w:t>
            </w:r>
          </w:p>
        </w:tc>
        <w:tc>
          <w:tcPr>
            <w:tcW w:type="dxa" w:w="4252"/>
            <w:shd w:val="clear" w:color="auto" w:fill="D9E2F3"/>
            <w:vAlign w:val="center"/>
          </w:tcPr>
          <w:p>
            <w:r/>
            <w:r>
              <w:rPr>
                <w:b/>
                <w:color w:val="1F497D"/>
                <w:sz w:val="20"/>
              </w:rPr>
              <w:t>Mitigación</w:t>
            </w:r>
          </w:p>
        </w:tc>
      </w:tr>
      <w:tr>
        <w:tc>
          <w:tcPr>
            <w:tcW w:type="dxa" w:w="1984"/>
            <w:vAlign w:val="top"/>
          </w:tcPr>
          <w:p>
            <w:r/>
            <w:r>
              <w:rPr>
                <w:b/>
                <w:sz w:val="20"/>
              </w:rPr>
              <w:t>Riesgo regulatorio</w:t>
            </w:r>
          </w:p>
        </w:tc>
        <w:tc>
          <w:tcPr>
            <w:tcW w:type="dxa" w:w="3685"/>
            <w:vAlign w:val="top"/>
          </w:tcPr>
          <w:p>
            <w:r/>
            <w:r>
              <w:rPr>
                <w:sz w:val="20"/>
              </w:rPr>
              <w:t>Cambios en la Ley 21.719 o en los formatos APDC.</w:t>
            </w:r>
          </w:p>
        </w:tc>
        <w:tc>
          <w:tcPr>
            <w:tcW w:type="dxa" w:w="4252"/>
            <w:vAlign w:val="top"/>
          </w:tcPr>
          <w:p>
            <w:r/>
            <w:r>
              <w:rPr>
                <w:sz w:val="20"/>
              </w:rPr>
              <w:t>Mantener el roadmap flexible; seguir la APDC; auditar trimestralmente.</w:t>
            </w:r>
          </w:p>
        </w:tc>
      </w:tr>
      <w:tr>
        <w:tc>
          <w:tcPr>
            <w:tcW w:type="dxa" w:w="1984"/>
            <w:vAlign w:val="top"/>
          </w:tcPr>
          <w:p>
            <w:r/>
            <w:r>
              <w:rPr>
                <w:b/>
                <w:sz w:val="20"/>
              </w:rPr>
              <w:t>Riesgo de adopción</w:t>
            </w:r>
          </w:p>
        </w:tc>
        <w:tc>
          <w:tcPr>
            <w:tcW w:type="dxa" w:w="3685"/>
            <w:vAlign w:val="top"/>
          </w:tcPr>
          <w:p>
            <w:r/>
            <w:r>
              <w:rPr>
                <w:sz w:val="20"/>
              </w:rPr>
              <w:t>Las PYMEs pueden percibir el cumplimiento como complejo.</w:t>
            </w:r>
          </w:p>
        </w:tc>
        <w:tc>
          <w:tcPr>
            <w:tcW w:type="dxa" w:w="4252"/>
            <w:vAlign w:val="top"/>
          </w:tcPr>
          <w:p>
            <w:r/>
            <w:r>
              <w:rPr>
                <w:sz w:val="20"/>
              </w:rPr>
              <w:t>Plantillas por rubro, wizard guiado, onboarding visual.</w:t>
            </w:r>
          </w:p>
        </w:tc>
      </w:tr>
      <w:tr>
        <w:tc>
          <w:tcPr>
            <w:tcW w:type="dxa" w:w="1984"/>
            <w:vAlign w:val="top"/>
          </w:tcPr>
          <w:p>
            <w:r/>
            <w:r>
              <w:rPr>
                <w:b/>
                <w:sz w:val="20"/>
              </w:rPr>
              <w:t>Riesgo de competencia</w:t>
            </w:r>
          </w:p>
        </w:tc>
        <w:tc>
          <w:tcPr>
            <w:tcW w:type="dxa" w:w="3685"/>
            <w:vAlign w:val="top"/>
          </w:tcPr>
          <w:p>
            <w:r/>
            <w:r>
              <w:rPr>
                <w:sz w:val="20"/>
              </w:rPr>
              <w:t>Soluciones internacionales (OneTrust, etc.) entran al mercado.</w:t>
            </w:r>
          </w:p>
        </w:tc>
        <w:tc>
          <w:tcPr>
            <w:tcW w:type="dxa" w:w="4252"/>
            <w:vAlign w:val="top"/>
          </w:tcPr>
          <w:p>
            <w:r/>
            <w:r>
              <w:rPr>
                <w:sz w:val="20"/>
              </w:rPr>
              <w:t>Especialización chilena, Ley 21.719, multi-rubro, precio accesible.</w:t>
            </w:r>
          </w:p>
        </w:tc>
      </w:tr>
      <w:tr>
        <w:tc>
          <w:tcPr>
            <w:tcW w:type="dxa" w:w="1984"/>
            <w:vAlign w:val="top"/>
          </w:tcPr>
          <w:p>
            <w:r/>
            <w:r>
              <w:rPr>
                <w:b/>
                <w:sz w:val="20"/>
              </w:rPr>
              <w:t>Riesgo técnico</w:t>
            </w:r>
          </w:p>
        </w:tc>
        <w:tc>
          <w:tcPr>
            <w:tcW w:type="dxa" w:w="3685"/>
            <w:vAlign w:val="top"/>
          </w:tcPr>
          <w:p>
            <w:r/>
            <w:r>
              <w:rPr>
                <w:sz w:val="20"/>
              </w:rPr>
              <w:t>Dependencia de Vercel y Neon.</w:t>
            </w:r>
          </w:p>
        </w:tc>
        <w:tc>
          <w:tcPr>
            <w:tcW w:type="dxa" w:w="4252"/>
            <w:vAlign w:val="top"/>
          </w:tcPr>
          <w:p>
            <w:r/>
            <w:r>
              <w:rPr>
                <w:sz w:val="20"/>
              </w:rPr>
              <w:t>Planes pagos, monitoreo de uptime, plan de migración documentado.</w:t>
            </w:r>
          </w:p>
        </w:tc>
      </w:tr>
      <w:tr>
        <w:tc>
          <w:tcPr>
            <w:tcW w:type="dxa" w:w="1984"/>
            <w:vAlign w:val="top"/>
          </w:tcPr>
          <w:p>
            <w:r/>
            <w:r>
              <w:rPr>
                <w:b/>
                <w:sz w:val="20"/>
              </w:rPr>
              <w:t>Riesgo de seguridad</w:t>
            </w:r>
          </w:p>
        </w:tc>
        <w:tc>
          <w:tcPr>
            <w:tcW w:type="dxa" w:w="3685"/>
            <w:vAlign w:val="top"/>
          </w:tcPr>
          <w:p>
            <w:r/>
            <w:r>
              <w:rPr>
                <w:sz w:val="20"/>
              </w:rPr>
              <w:t>Filtración de datos sensibles.</w:t>
            </w:r>
          </w:p>
        </w:tc>
        <w:tc>
          <w:tcPr>
            <w:tcW w:type="dxa" w:w="4252"/>
            <w:vAlign w:val="top"/>
          </w:tcPr>
          <w:p>
            <w:r/>
            <w:r>
              <w:rPr>
                <w:sz w:val="20"/>
              </w:rPr>
              <w:t>Cifrado en tránsito, bcrypt, blacklist de tokens, hardening de CORS.</w:t>
            </w:r>
          </w:p>
        </w:tc>
      </w:tr>
      <w:tr>
        <w:tc>
          <w:tcPr>
            <w:tcW w:type="dxa" w:w="1984"/>
            <w:vAlign w:val="top"/>
          </w:tcPr>
          <w:p>
            <w:r/>
            <w:r>
              <w:rPr>
                <w:b/>
                <w:sz w:val="20"/>
              </w:rPr>
              <w:t>Riesgo de datos</w:t>
            </w:r>
          </w:p>
        </w:tc>
        <w:tc>
          <w:tcPr>
            <w:tcW w:type="dxa" w:w="3685"/>
            <w:vAlign w:val="top"/>
          </w:tcPr>
          <w:p>
            <w:r/>
            <w:r>
              <w:rPr>
                <w:sz w:val="20"/>
              </w:rPr>
              <w:t>Pérdida de datos por fallo del proveedor.</w:t>
            </w:r>
          </w:p>
        </w:tc>
        <w:tc>
          <w:tcPr>
            <w:tcW w:type="dxa" w:w="4252"/>
            <w:vAlign w:val="top"/>
          </w:tcPr>
          <w:p>
            <w:r/>
            <w:r>
              <w:rPr>
                <w:sz w:val="20"/>
              </w:rPr>
              <w:t>Backups automáticos de Neon; exportable a JSON.</w:t>
            </w:r>
          </w:p>
        </w:tc>
      </w:tr>
      <w:tr>
        <w:tc>
          <w:tcPr>
            <w:tcW w:type="dxa" w:w="1984"/>
            <w:vAlign w:val="top"/>
          </w:tcPr>
          <w:p>
            <w:r/>
            <w:r>
              <w:rPr>
                <w:b/>
                <w:sz w:val="20"/>
              </w:rPr>
              <w:t>Riesgo operacional</w:t>
            </w:r>
          </w:p>
        </w:tc>
        <w:tc>
          <w:tcPr>
            <w:tcW w:type="dxa" w:w="3685"/>
            <w:vAlign w:val="top"/>
          </w:tcPr>
          <w:p>
            <w:r/>
            <w:r>
              <w:rPr>
                <w:sz w:val="20"/>
              </w:rPr>
              <w:t>Equipo pequeño sobrecargado.</w:t>
            </w:r>
          </w:p>
        </w:tc>
        <w:tc>
          <w:tcPr>
            <w:tcW w:type="dxa" w:w="4252"/>
            <w:vAlign w:val="top"/>
          </w:tcPr>
          <w:p>
            <w:r/>
            <w:r>
              <w:rPr>
                <w:sz w:val="20"/>
              </w:rPr>
              <w:t>Automatizaciones, documentacion exhaustiva, soporte al cliente escalable.</w:t>
            </w:r>
          </w:p>
        </w:tc>
      </w:tr>
    </w:tbl>
    <w:p>
      <w:pPr>
        <w:pStyle w:val="Heading1"/>
      </w:pPr>
      <w:r>
        <w:t>10. Lienzo de valor (resumen)</w:t>
      </w:r>
    </w:p>
    <w:p>
      <w:pPr>
        <w:jc w:val="center"/>
      </w:pPr>
      <w:r>
        <w:drawing>
          <wp:inline xmlns:a="http://schemas.openxmlformats.org/drawingml/2006/main" xmlns:pic="http://schemas.openxmlformats.org/drawingml/2006/picture">
            <wp:extent cx="5943600" cy="183861"/>
            <wp:docPr id="1" name="Picture 1"/>
            <wp:cNvGraphicFramePr>
              <a:graphicFrameLocks noChangeAspect="1"/>
            </wp:cNvGraphicFramePr>
            <a:graphic>
              <a:graphicData uri="http://schemas.openxmlformats.org/drawingml/2006/picture">
                <pic:pic>
                  <pic:nvPicPr>
                    <pic:cNvPr id="0" name="canvas_-2582751446314051785.png"/>
                    <pic:cNvPicPr/>
                  </pic:nvPicPr>
                  <pic:blipFill>
                    <a:blip r:embed="rId11"/>
                    <a:stretch>
                      <a:fillRect/>
                    </a:stretch>
                  </pic:blipFill>
                  <pic:spPr>
                    <a:xfrm>
                      <a:off x="0" y="0"/>
                      <a:ext cx="5943600" cy="183861"/>
                    </a:xfrm>
                    <a:prstGeom prst="rect"/>
                  </pic:spPr>
                </pic:pic>
              </a:graphicData>
            </a:graphic>
          </wp:inline>
        </w:drawing>
      </w:r>
    </w:p>
    <w:p>
      <w:pPr>
        <w:spacing w:before="40" w:after="200"/>
        <w:jc w:val="center"/>
      </w:pPr>
      <w:r>
        <w:rPr>
          <w:b/>
          <w:i/>
          <w:color w:val="1F497D"/>
          <w:sz w:val="18"/>
        </w:rPr>
        <w:t xml:space="preserve">Figura 1 — </w:t>
      </w:r>
      <w:r>
        <w:rPr>
          <w:i/>
          <w:color w:val="404040"/>
          <w:sz w:val="18"/>
        </w:rPr>
        <w:t>Lienzo de valor resumido del producto Custodio.</w:t>
      </w:r>
    </w:p>
    <w:p>
      <w:pPr>
        <w:pStyle w:val="Heading1"/>
      </w:pPr>
      <w:r>
        <w:t>11. Supuestos y dependencias</w:t>
      </w:r>
    </w:p>
    <w:p>
      <w:r>
        <w:rPr>
          <w:sz w:val="22"/>
        </w:rPr>
        <w:t>El producto opera bajo los siguientes supuestos:</w:t>
      </w:r>
    </w:p>
    <w:p>
      <w:pPr>
        <w:pStyle w:val="ListBullet"/>
        <w:spacing w:after="40"/>
        <w:ind w:left="340"/>
      </w:pPr>
      <w:r>
        <w:rPr>
          <w:sz w:val="22"/>
        </w:rPr>
        <w:t>La fecha de entrada en vigencia general de la Ley 21.719 es el 1 de diciembre de 2026.</w:t>
      </w:r>
    </w:p>
    <w:p>
      <w:pPr>
        <w:pStyle w:val="ListBullet"/>
        <w:spacing w:after="40"/>
        <w:ind w:left="340"/>
      </w:pPr>
      <w:r>
        <w:rPr>
          <w:sz w:val="22"/>
        </w:rPr>
        <w:t>La APDC publicará una API o un canal formal para envío de evidencia en algún momento del 2026-2027.</w:t>
      </w:r>
    </w:p>
    <w:p>
      <w:pPr>
        <w:pStyle w:val="ListBullet"/>
        <w:spacing w:after="40"/>
        <w:ind w:left="340"/>
      </w:pPr>
      <w:r>
        <w:rPr>
          <w:sz w:val="22"/>
        </w:rPr>
        <w:t>El mercado chileno tiene al menos 50.000 empresas con obligaciones de cumplimiento en el primer año.</w:t>
      </w:r>
    </w:p>
    <w:p>
      <w:pPr>
        <w:pStyle w:val="ListBullet"/>
        <w:spacing w:after="40"/>
        <w:ind w:left="340"/>
      </w:pPr>
      <w:r>
        <w:rPr>
          <w:sz w:val="22"/>
        </w:rPr>
        <w:t>El equipo podrá escalar a 4 desarrolladores y 1 QA en los próximos 12 meses.</w:t>
      </w:r>
    </w:p>
    <w:p>
      <w:r>
        <w:rPr>
          <w:sz w:val="22"/>
        </w:rPr>
        <w:t>Dependencias externas clave:</w:t>
      </w:r>
    </w:p>
    <w:p>
      <w:pPr>
        <w:pStyle w:val="ListBullet"/>
        <w:spacing w:after="40"/>
        <w:ind w:left="340"/>
      </w:pPr>
      <w:r>
        <w:rPr>
          <w:b/>
          <w:sz w:val="22"/>
        </w:rPr>
        <w:t xml:space="preserve">Infraestructura: </w:t>
      </w:r>
      <w:r>
        <w:rPr>
          <w:sz w:val="22"/>
        </w:rPr>
        <w:t>Vercel (hosting y serverless).</w:t>
      </w:r>
    </w:p>
    <w:p>
      <w:pPr>
        <w:pStyle w:val="ListBullet"/>
        <w:spacing w:after="40"/>
        <w:ind w:left="340"/>
      </w:pPr>
      <w:r>
        <w:rPr>
          <w:b/>
          <w:sz w:val="22"/>
        </w:rPr>
        <w:t xml:space="preserve">Base de datos: </w:t>
      </w:r>
      <w:r>
        <w:rPr>
          <w:sz w:val="22"/>
        </w:rPr>
        <w:t>Neon (PostgreSQL administrado).</w:t>
      </w:r>
    </w:p>
    <w:p>
      <w:pPr>
        <w:pStyle w:val="ListBullet"/>
        <w:spacing w:after="40"/>
        <w:ind w:left="340"/>
      </w:pPr>
      <w:r>
        <w:rPr>
          <w:b/>
          <w:sz w:val="22"/>
        </w:rPr>
        <w:t xml:space="preserve">IA: </w:t>
      </w:r>
      <w:r>
        <w:rPr>
          <w:sz w:val="22"/>
        </w:rPr>
        <w:t>MiniMax / OpenAI (IA opcional).</w:t>
      </w:r>
    </w:p>
    <w:p>
      <w:pPr>
        <w:pStyle w:val="Heading1"/>
      </w:pPr>
      <w:r>
        <w:t>Apéndice A — Vacíos de información</w:t>
      </w:r>
    </w:p>
    <w:p>
      <w:r>
        <w:rPr>
          <w:i/>
          <w:sz w:val="22"/>
        </w:rPr>
        <w:t>Las siguientes preguntas quedan abiertas al equipo de producto o al Product Owner para ser resueltas en próximas iteraciones:</w:t>
      </w:r>
    </w:p>
    <w:p>
      <w:pPr>
        <w:pStyle w:val="ListBullet"/>
        <w:spacing w:after="40"/>
        <w:ind w:left="340"/>
      </w:pPr>
      <w:r>
        <w:rPr>
          <w:sz w:val="22"/>
        </w:rPr>
        <w:t>¿El modelo de precios (suscripción por empresa, por número de RATs, por número de usuarios) ya está definido?</w:t>
      </w:r>
    </w:p>
    <w:p>
      <w:pPr>
        <w:pStyle w:val="ListBullet"/>
        <w:spacing w:after="40"/>
        <w:ind w:left="340"/>
      </w:pPr>
      <w:r>
        <w:rPr>
          <w:sz w:val="22"/>
        </w:rPr>
        <w:t>¿Existe una fecha de salida al mercado (GA) confirmada?</w:t>
      </w:r>
    </w:p>
    <w:p>
      <w:pPr>
        <w:pStyle w:val="ListBullet"/>
        <w:spacing w:after="40"/>
        <w:ind w:left="340"/>
      </w:pPr>
      <w:r>
        <w:rPr>
          <w:sz w:val="22"/>
        </w:rPr>
        <w:t>¿Hay un cliente ancla o caso de éxito publicable?</w:t>
      </w:r>
    </w:p>
    <w:p>
      <w:pPr>
        <w:pStyle w:val="Heading1"/>
      </w:pPr>
      <w:r>
        <w:t>Apéndice B — Riesgos identificados</w:t>
      </w:r>
    </w:p>
    <w:p>
      <w:r>
        <w:rPr>
          <w:i/>
          <w:sz w:val="22"/>
        </w:rPr>
        <w:t>Riesgos detectados durante la auditoría documental y técnica:</w:t>
      </w:r>
    </w:p>
    <w:p>
      <w:pPr>
        <w:spacing w:before="80" w:after="40"/>
      </w:pPr>
      <w:r>
        <w:rPr>
          <w:b/>
          <w:i/>
          <w:color w:val="1F497D"/>
          <w:sz w:val="18"/>
        </w:rPr>
        <w:t xml:space="preserve">Tabla 1 — </w:t>
      </w:r>
      <w:r>
        <w:rPr>
          <w:i/>
          <w:color w:val="404040"/>
          <w:sz w:val="18"/>
        </w:rPr>
        <w:t>Riesgos identificados durante la auditoría</w:t>
      </w:r>
    </w:p>
    <w:tbl>
      <w:tblPr>
        <w:tblStyle w:val="TableGrid"/>
        <w:tblW w:type="auto" w:w="0"/>
        <w:jc w:val="left"/>
        <w:tblLook w:firstColumn="1" w:firstRow="1" w:lastColumn="0" w:lastRow="0" w:noHBand="0" w:noVBand="1" w:val="04A0"/>
      </w:tblPr>
      <w:tblGrid>
        <w:gridCol w:w="3324"/>
        <w:gridCol w:w="3324"/>
        <w:gridCol w:w="3324"/>
      </w:tblGrid>
      <w:tr>
        <w:tc>
          <w:tcPr>
            <w:tcW w:type="dxa" w:w="1134"/>
            <w:shd w:val="clear" w:color="auto" w:fill="D9E2F3"/>
            <w:vAlign w:val="center"/>
          </w:tcPr>
          <w:p>
            <w:r/>
            <w:r>
              <w:rPr>
                <w:b/>
                <w:color w:val="1F497D"/>
                <w:sz w:val="20"/>
              </w:rPr>
              <w:t>ID</w:t>
            </w:r>
          </w:p>
        </w:tc>
        <w:tc>
          <w:tcPr>
            <w:tcW w:type="dxa" w:w="7370"/>
            <w:shd w:val="clear" w:color="auto" w:fill="D9E2F3"/>
            <w:vAlign w:val="center"/>
          </w:tcPr>
          <w:p>
            <w:r/>
            <w:r>
              <w:rPr>
                <w:b/>
                <w:color w:val="1F497D"/>
                <w:sz w:val="20"/>
              </w:rPr>
              <w:t>Descripción</w:t>
            </w:r>
          </w:p>
        </w:tc>
        <w:tc>
          <w:tcPr>
            <w:tcW w:type="dxa" w:w="1417"/>
            <w:shd w:val="clear" w:color="auto" w:fill="D9E2F3"/>
            <w:vAlign w:val="center"/>
          </w:tcPr>
          <w:p>
            <w:r/>
            <w:r>
              <w:rPr>
                <w:b/>
                <w:color w:val="1F497D"/>
                <w:sz w:val="20"/>
              </w:rPr>
              <w:t>Severidad</w:t>
            </w:r>
          </w:p>
        </w:tc>
      </w:tr>
      <w:tr>
        <w:tc>
          <w:tcPr>
            <w:tcW w:type="dxa" w:w="1134"/>
            <w:vAlign w:val="top"/>
          </w:tcPr>
          <w:p>
            <w:r/>
            <w:r>
              <w:rPr>
                <w:sz w:val="20"/>
              </w:rPr>
              <w:t>R-V-01</w:t>
            </w:r>
          </w:p>
        </w:tc>
        <w:tc>
          <w:tcPr>
            <w:tcW w:type="dxa" w:w="7370"/>
            <w:vAlign w:val="top"/>
          </w:tcPr>
          <w:p>
            <w:r/>
            <w:r>
              <w:rPr>
                <w:sz w:val="20"/>
              </w:rPr>
              <w:t>Esta visión asume el marco regulatorio actual. Si la APDC publica nuevas guías que cambien los campos obligatorios, el sistema debe adaptarse.</w:t>
            </w:r>
          </w:p>
        </w:tc>
        <w:tc>
          <w:tcPr>
            <w:tcW w:type="dxa" w:w="1417"/>
            <w:vAlign w:val="top"/>
          </w:tcPr>
          <w:p>
            <w:r/>
            <w:r>
              <w:rPr>
                <w:sz w:val="20"/>
              </w:rPr>
              <w:t>Medio</w:t>
            </w:r>
          </w:p>
        </w:tc>
      </w:tr>
      <w:tr>
        <w:tc>
          <w:tcPr>
            <w:tcW w:type="dxa" w:w="1134"/>
            <w:vAlign w:val="top"/>
          </w:tcPr>
          <w:p>
            <w:r/>
            <w:r>
              <w:rPr>
                <w:sz w:val="20"/>
              </w:rPr>
              <w:t>R-V-02</w:t>
            </w:r>
          </w:p>
        </w:tc>
        <w:tc>
          <w:tcPr>
            <w:tcW w:type="dxa" w:w="7370"/>
            <w:vAlign w:val="top"/>
          </w:tcPr>
          <w:p>
            <w:r/>
            <w:r>
              <w:rPr>
                <w:sz w:val="20"/>
              </w:rPr>
              <w:t>El modelo de ingresos no está detallado en este documento; debe documentarse aparte.</w:t>
            </w:r>
          </w:p>
        </w:tc>
        <w:tc>
          <w:tcPr>
            <w:tcW w:type="dxa" w:w="1417"/>
            <w:vAlign w:val="top"/>
          </w:tcPr>
          <w:p>
            <w:r/>
            <w:r>
              <w:rPr>
                <w:sz w:val="20"/>
              </w:rPr>
              <w:t>Alto</w:t>
            </w:r>
          </w:p>
        </w:tc>
      </w:tr>
    </w:tbl>
    <w:p>
      <w:pPr>
        <w:pStyle w:val="Heading1"/>
      </w:pPr>
      <w:r>
        <w:t>Apéndice C — Índice de identificadores</w:t>
      </w:r>
    </w:p>
    <w:p>
      <w:r>
        <w:rPr>
          <w:i/>
          <w:sz w:val="22"/>
        </w:rPr>
        <w:t>Identificadores únicos referenciados a lo largo del documento:</w:t>
      </w:r>
    </w:p>
    <w:tbl>
      <w:tblPr>
        <w:tblStyle w:val="TableGrid"/>
        <w:tblW w:type="auto" w:w="0"/>
        <w:jc w:val="left"/>
        <w:tblLook w:firstColumn="1" w:firstRow="1" w:lastColumn="0" w:lastRow="0" w:noHBand="0" w:noVBand="1" w:val="04A0"/>
      </w:tblPr>
      <w:tblGrid>
        <w:gridCol w:w="3324"/>
        <w:gridCol w:w="3324"/>
        <w:gridCol w:w="3324"/>
      </w:tblGrid>
      <w:tr>
        <w:tc>
          <w:tcPr>
            <w:tcW w:type="dxa" w:w="1417"/>
            <w:shd w:val="clear" w:color="auto" w:fill="D9E2F3"/>
            <w:vAlign w:val="center"/>
          </w:tcPr>
          <w:p>
            <w:r/>
            <w:r>
              <w:rPr>
                <w:b/>
                <w:color w:val="1F497D"/>
                <w:sz w:val="20"/>
              </w:rPr>
              <w:t>ID</w:t>
            </w:r>
          </w:p>
        </w:tc>
        <w:tc>
          <w:tcPr>
            <w:tcW w:type="dxa" w:w="2835"/>
            <w:shd w:val="clear" w:color="auto" w:fill="D9E2F3"/>
            <w:vAlign w:val="center"/>
          </w:tcPr>
          <w:p>
            <w:r/>
            <w:r>
              <w:rPr>
                <w:b/>
                <w:color w:val="1F497D"/>
                <w:sz w:val="20"/>
              </w:rPr>
              <w:t>Nombre</w:t>
            </w:r>
          </w:p>
        </w:tc>
        <w:tc>
          <w:tcPr>
            <w:tcW w:type="dxa" w:w="5669"/>
            <w:shd w:val="clear" w:color="auto" w:fill="D9E2F3"/>
            <w:vAlign w:val="center"/>
          </w:tcPr>
          <w:p>
            <w:r/>
            <w:r>
              <w:rPr>
                <w:b/>
                <w:color w:val="1F497D"/>
                <w:sz w:val="20"/>
              </w:rPr>
              <w:t>Descripción</w:t>
            </w:r>
          </w:p>
        </w:tc>
      </w:tr>
      <w:tr>
        <w:tc>
          <w:tcPr>
            <w:tcW w:type="dxa" w:w="1417"/>
            <w:vAlign w:val="top"/>
          </w:tcPr>
          <w:p>
            <w:r/>
            <w:r>
              <w:rPr>
                <w:b/>
                <w:sz w:val="20"/>
              </w:rPr>
              <w:t>APDC</w:t>
            </w:r>
          </w:p>
        </w:tc>
        <w:tc>
          <w:tcPr>
            <w:tcW w:type="dxa" w:w="2835"/>
            <w:vAlign w:val="top"/>
          </w:tcPr>
          <w:p>
            <w:r/>
            <w:r>
              <w:rPr>
                <w:sz w:val="20"/>
              </w:rPr>
              <w:t>Agencia de Protección de Datos Personales</w:t>
            </w:r>
          </w:p>
        </w:tc>
        <w:tc>
          <w:tcPr>
            <w:tcW w:type="dxa" w:w="5669"/>
            <w:vAlign w:val="top"/>
          </w:tcPr>
          <w:p>
            <w:r/>
            <w:r>
              <w:rPr>
                <w:sz w:val="20"/>
              </w:rPr>
              <w:t>Órgano regulador chileno creado por la Ley 21.719.</w:t>
            </w:r>
          </w:p>
        </w:tc>
      </w:tr>
      <w:tr>
        <w:tc>
          <w:tcPr>
            <w:tcW w:type="dxa" w:w="1417"/>
            <w:vAlign w:val="top"/>
          </w:tcPr>
          <w:p>
            <w:r/>
            <w:r>
              <w:rPr>
                <w:b/>
                <w:sz w:val="20"/>
              </w:rPr>
              <w:t>DPO</w:t>
            </w:r>
          </w:p>
        </w:tc>
        <w:tc>
          <w:tcPr>
            <w:tcW w:type="dxa" w:w="2835"/>
            <w:vAlign w:val="top"/>
          </w:tcPr>
          <w:p>
            <w:r/>
            <w:r>
              <w:rPr>
                <w:sz w:val="20"/>
              </w:rPr>
              <w:t>Data Protection Officer</w:t>
            </w:r>
          </w:p>
        </w:tc>
        <w:tc>
          <w:tcPr>
            <w:tcW w:type="dxa" w:w="5669"/>
            <w:vAlign w:val="top"/>
          </w:tcPr>
          <w:p>
            <w:r/>
            <w:r>
              <w:rPr>
                <w:sz w:val="20"/>
              </w:rPr>
              <w:t>Encargado de protección de datos dentro de una organización.</w:t>
            </w:r>
          </w:p>
        </w:tc>
      </w:tr>
      <w:tr>
        <w:tc>
          <w:tcPr>
            <w:tcW w:type="dxa" w:w="1417"/>
            <w:vAlign w:val="top"/>
          </w:tcPr>
          <w:p>
            <w:r/>
            <w:r>
              <w:rPr>
                <w:b/>
                <w:sz w:val="20"/>
              </w:rPr>
              <w:t>RAT</w:t>
            </w:r>
          </w:p>
        </w:tc>
        <w:tc>
          <w:tcPr>
            <w:tcW w:type="dxa" w:w="2835"/>
            <w:vAlign w:val="top"/>
          </w:tcPr>
          <w:p>
            <w:r/>
            <w:r>
              <w:rPr>
                <w:sz w:val="20"/>
              </w:rPr>
              <w:t>Registro de Actividades de Tratamiento</w:t>
            </w:r>
          </w:p>
        </w:tc>
        <w:tc>
          <w:tcPr>
            <w:tcW w:type="dxa" w:w="5669"/>
            <w:vAlign w:val="top"/>
          </w:tcPr>
          <w:p>
            <w:r/>
            <w:r>
              <w:rPr>
                <w:sz w:val="20"/>
              </w:rPr>
              <w:t>Documento formal que describe los tratamientos de datos.</w:t>
            </w:r>
          </w:p>
        </w:tc>
      </w:tr>
      <w:tr>
        <w:tc>
          <w:tcPr>
            <w:tcW w:type="dxa" w:w="1417"/>
            <w:vAlign w:val="top"/>
          </w:tcPr>
          <w:p>
            <w:r/>
            <w:r>
              <w:rPr>
                <w:b/>
                <w:sz w:val="20"/>
              </w:rPr>
              <w:t>ARCO</w:t>
            </w:r>
          </w:p>
        </w:tc>
        <w:tc>
          <w:tcPr>
            <w:tcW w:type="dxa" w:w="2835"/>
            <w:vAlign w:val="top"/>
          </w:tcPr>
          <w:p>
            <w:r/>
            <w:r>
              <w:rPr>
                <w:sz w:val="20"/>
              </w:rPr>
              <w:t>Acceso, Rectificación, Cancelación, Oposición</w:t>
            </w:r>
          </w:p>
        </w:tc>
        <w:tc>
          <w:tcPr>
            <w:tcW w:type="dxa" w:w="5669"/>
            <w:vAlign w:val="top"/>
          </w:tcPr>
          <w:p>
            <w:r/>
            <w:r>
              <w:rPr>
                <w:sz w:val="20"/>
              </w:rPr>
              <w:t>Derechos del titular según la Ley 21.719.</w:t>
            </w:r>
          </w:p>
        </w:tc>
      </w:tr>
    </w:tbl>
    <w:p/>
    <w:p>
      <w:pPr>
        <w:jc w:val="center"/>
      </w:pPr>
      <w:r>
        <w:rPr>
          <w:i/>
          <w:color w:val="808080"/>
          <w:sz w:val="20"/>
        </w:rPr>
        <w:t>—  Fin del documento  —</w:t>
      </w:r>
    </w:p>
    <w:sectPr w:rsidR="00FC693F" w:rsidRPr="0006063C" w:rsidSect="00034616">
      <w:headerReference w:type="default" r:id="rId9"/>
      <w:footerReference w:type="default" r:id="rId10"/>
      <w:pgSz w:w="12240" w:h="15840"/>
      <w:pgMar w:top="1417" w:right="1134" w:bottom="1417"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tbl>
    <w:tblPr>
      <w:tblW w:type="auto" w:w="0"/>
      <w:tblLayout w:type="fixed"/>
      <w:tblLook w:firstColumn="1" w:firstRow="1" w:lastColumn="0" w:lastRow="0" w:noHBand="0" w:noVBand="1" w:val="04A0"/>
    </w:tblPr>
    <w:tblGrid>
      <w:gridCol w:w="3402"/>
      <w:gridCol w:w="3169"/>
      <w:gridCol w:w="3402"/>
    </w:tblGrid>
    <w:tr>
      <w:tc>
        <w:tcPr>
          <w:tcW w:type="dxa" w:w="3402"/>
        </w:tcPr>
        <w:p>
          <w:pPr>
            <w:jc w:val="left"/>
          </w:pPr>
          <w:r>
            <w:rPr>
              <w:color w:val="808080"/>
              <w:sz w:val="16"/>
            </w:rPr>
            <w:t>Custodio RAT Manager · Ley 21.719</w:t>
          </w:r>
        </w:p>
      </w:tc>
      <w:tc>
        <w:tcPr>
          <w:tcW w:type="dxa" w:w="3169"/>
        </w:tcPr>
        <w:p>
          <w:pPr>
            <w:jc w:val="center"/>
          </w:pPr>
          <w:r>
            <w:rPr>
              <w:color w:val="808080"/>
              <w:sz w:val="16"/>
            </w:rPr>
            <w:t xml:space="preserve">Página </w:t>
          </w:r>
          <w:r>
            <w:rPr>
              <w:color w:val="808080"/>
              <w:sz w:val="16"/>
            </w:rPr>
            <w:fldChar w:fldCharType="begin"/>
            <w:instrText xml:space="preserve">PAGE</w:instrText>
            <w:fldChar w:fldCharType="separate"/>
            <w:fldChar w:fldCharType="end"/>
          </w:r>
          <w:r>
            <w:rPr>
              <w:color w:val="808080"/>
              <w:sz w:val="16"/>
            </w:rPr>
            <w:t xml:space="preserve"> de </w:t>
          </w:r>
          <w:r>
            <w:rPr>
              <w:color w:val="808080"/>
              <w:sz w:val="16"/>
            </w:rPr>
            <w:fldChar w:fldCharType="begin"/>
            <w:instrText xml:space="preserve">NUMPAGES</w:instrText>
            <w:fldChar w:fldCharType="separate"/>
            <w:fldChar w:fldCharType="end"/>
          </w:r>
        </w:p>
      </w:tc>
      <w:tc>
        <w:tcPr>
          <w:tcW w:type="dxa" w:w="3402"/>
        </w:tcPr>
        <w:p>
          <w:pPr>
            <w:jc w:val="right"/>
          </w:pPr>
          <w:r>
            <w:rPr>
              <w:color w:val="808080"/>
              <w:sz w:val="16"/>
            </w:rPr>
            <w:t>Interno — Confidencial  ·  Visión del Producto</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ayout w:type="fixed"/>
      <w:tblLook w:firstColumn="1" w:firstRow="1" w:lastColumn="0" w:lastRow="0" w:noHBand="0" w:noVBand="1" w:val="04A0"/>
    </w:tblPr>
    <w:tblGrid>
      <w:gridCol w:w="5669"/>
      <w:gridCol w:w="4303"/>
    </w:tblGrid>
    <w:tr>
      <w:tc>
        <w:tcPr>
          <w:tcW w:type="dxa" w:w="5669"/>
        </w:tcPr>
        <w:p>
          <w:pPr>
            <w:jc w:val="left"/>
            <w:pBdr>
              <w:bottom w:val="single" w:sz="6" w:space="1" w:color="1F497D"/>
            </w:pBdr>
          </w:pPr>
          <w:r>
            <w:rPr>
              <w:b/>
              <w:color w:val="1F497D"/>
              <w:sz w:val="18"/>
            </w:rPr>
            <w:t xml:space="preserve">▣  CUSTODIO  </w:t>
          </w:r>
          <w:r>
            <w:rPr>
              <w:color w:val="404040"/>
              <w:sz w:val="18"/>
            </w:rPr>
            <w:t>·  Visión del Producto</w:t>
          </w:r>
        </w:p>
      </w:tc>
      <w:tc>
        <w:tcPr>
          <w:tcW w:type="dxa" w:w="4303"/>
        </w:tcPr>
        <w:p>
          <w:pPr>
            <w:jc w:val="right"/>
          </w:pPr>
          <w:r>
            <w:rPr>
              <w:color w:val="808080"/>
              <w:sz w:val="18"/>
            </w:rPr>
            <w:t>v1.0  ·  Junio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Calibri" w:hAnsi="Calibri"/>
      <w:b/>
      <w:bCs/>
      <w:color w:val="4040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0404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