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4"/>
        </w:rPr>
        <w:t>Custodio RAT Manager</w:t>
      </w:r>
    </w:p>
    <w:p/>
    <w:p>
      <w:pPr>
        <w:pStyle w:val="Heading1"/>
        <w:jc w:val="center"/>
      </w:pPr>
      <w:r>
        <w:t>02 — Requisitos</w:t>
      </w:r>
    </w:p>
    <w:p>
      <w:pPr>
        <w:jc w:val="center"/>
      </w:pPr>
      <w:r>
        <w:t>Requisitos Funcionales y No Funcionales</w:t>
      </w:r>
    </w:p>
    <w:p/>
    <w:p>
      <w:pPr>
        <w:jc w:val="center"/>
      </w:pPr>
      <w:r>
        <w:t>Versión: v1.12  ·  Fecha: 24/08/2026</w:t>
        <w:br/>
        <w:t>Ley 21.719 — Protección de Datos Personales de Chile</w:t>
      </w:r>
    </w:p>
    <w:p>
      <w:r>
        <w:br w:type="page"/>
      </w:r>
    </w:p>
    <w:p>
      <w:pPr>
        <w:pStyle w:val="Heading1"/>
      </w:pPr>
      <w:r>
        <w:t>1. Nuevos Requisitos v1.12</w:t>
      </w:r>
    </w:p>
    <w:p>
      <w:pPr>
        <w:pStyle w:val="Heading2"/>
      </w:pPr>
      <w:r>
        <w:t>1.1 Requisitos Funcionales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97D" w:color="auto" w:val="clear"/>
          </w:tcPr>
          <w:p>
            <w:r>
              <w:rPr>
                <w:b/>
                <w:color w:val="FFFFFF"/>
              </w:rPr>
              <w:t>ID</w:t>
            </w:r>
          </w:p>
        </w:tc>
        <w:tc>
          <w:tcPr>
            <w:tcW w:type="dxa" w:w="2160"/>
            <w:shd w:fill="1F497D" w:color="auto" w:val="clear"/>
          </w:tcPr>
          <w:p>
            <w:r>
              <w:rPr>
                <w:b/>
                <w:color w:val="FFFFFF"/>
              </w:rPr>
              <w:t>Nombre</w:t>
            </w:r>
          </w:p>
        </w:tc>
        <w:tc>
          <w:tcPr>
            <w:tcW w:type="dxa" w:w="2160"/>
            <w:shd w:fill="1F497D" w:color="auto" w:val="clear"/>
          </w:tcPr>
          <w:p>
            <w:r>
              <w:rPr>
                <w:b/>
                <w:color w:val="FFFFFF"/>
              </w:rPr>
              <w:t>Prioridad</w:t>
            </w:r>
          </w:p>
        </w:tc>
        <w:tc>
          <w:tcPr>
            <w:tcW w:type="dxa" w:w="2160"/>
            <w:shd w:fill="1F497D" w:color="auto" w:val="clear"/>
          </w:tcPr>
          <w:p>
            <w:r>
              <w:rPr>
                <w:b/>
                <w:color w:val="FFFFFF"/>
              </w:rPr>
              <w:t>Descripción</w:t>
            </w:r>
          </w:p>
        </w:tc>
      </w:tr>
      <w:tr>
        <w:tc>
          <w:tcPr>
            <w:tcW w:type="dxa" w:w="2160"/>
          </w:tcPr>
          <w:p>
            <w:r>
              <w:t>RF-174</w:t>
            </w:r>
          </w:p>
        </w:tc>
        <w:tc>
          <w:tcPr>
            <w:tcW w:type="dxa" w:w="2160"/>
          </w:tcPr>
          <w:p>
            <w:r>
              <w:t>Verificar titular repetido (público)</w:t>
            </w:r>
          </w:p>
        </w:tc>
        <w:tc>
          <w:tcPr>
            <w:tcW w:type="dxa" w:w="2160"/>
          </w:tcPr>
          <w:p>
            <w:r>
              <w:t>MEDIO</w:t>
            </w:r>
          </w:p>
        </w:tc>
        <w:tc>
          <w:tcPr>
            <w:tcW w:type="dxa" w:w="2160"/>
          </w:tcPr>
          <w:p>
            <w:r>
              <w:t>El sistema debe verificar si un email ya tiene tickets ARCO abiertos en una empresa antes de que el titular envíe una nueva solicitud. La verificación es opcional (no bloquea el envío) y se realiza vía GET /publico/verificar-titular.</w:t>
            </w:r>
          </w:p>
        </w:tc>
      </w:tr>
      <w:tr>
        <w:tc>
          <w:tcPr>
            <w:tcW w:type="dxa" w:w="2160"/>
          </w:tcPr>
          <w:p>
            <w:r>
              <w:t>RF-175</w:t>
            </w:r>
          </w:p>
        </w:tc>
        <w:tc>
          <w:tcPr>
            <w:tcW w:type="dxa" w:w="2160"/>
          </w:tcPr>
          <w:p>
            <w:r>
              <w:t>Acuse de recibo automático ARCO</w:t>
            </w:r>
          </w:p>
        </w:tc>
        <w:tc>
          <w:tcPr>
            <w:tcW w:type="dxa" w:w="2160"/>
          </w:tcPr>
          <w:p>
            <w:r>
              <w:t>ALTO</w:t>
            </w:r>
          </w:p>
        </w:tc>
        <w:tc>
          <w:tcPr>
            <w:tcW w:type="dxa" w:w="2160"/>
          </w:tcPr>
          <w:p>
            <w:r>
              <w:t>Al crear un ticket ARCO con email del titular, el sistema debe enviar un acuse de recibo automático con tracking token, empresa, tipo de derecho y fecha de vencimiento. Si el envío falla, se registra warning sin revertir el ticket.</w:t>
            </w:r>
          </w:p>
        </w:tc>
      </w:tr>
      <w:tr>
        <w:tc>
          <w:tcPr>
            <w:tcW w:type="dxa" w:w="2160"/>
          </w:tcPr>
          <w:p>
            <w:r>
              <w:t>RF-176</w:t>
            </w:r>
          </w:p>
        </w:tc>
        <w:tc>
          <w:tcPr>
            <w:tcW w:type="dxa" w:w="2160"/>
          </w:tcPr>
          <w:p>
            <w:r>
              <w:t>Placeholders dinámicos en respuesta ARCO</w:t>
            </w:r>
          </w:p>
        </w:tc>
        <w:tc>
          <w:tcPr>
            <w:tcW w:type="dxa" w:w="2160"/>
          </w:tcPr>
          <w:p>
            <w:r>
              <w:t>MEDIO</w:t>
            </w:r>
          </w:p>
        </w:tc>
        <w:tc>
          <w:tcPr>
            <w:tcW w:type="dxa" w:w="2160"/>
          </w:tcPr>
          <w:p>
            <w:r>
              <w:t>El operador debe poder insertar variables dinámicas en el texto de respuesta mediante chips de selección: {{nombre_titular}}, {{empresa}}, {{fecha}}, {{numero_solicitud}}, {{dias_bloqueo}}, {{fecha_vencimiento}}.</w:t>
            </w:r>
          </w:p>
        </w:tc>
      </w:tr>
      <w:tr>
        <w:tc>
          <w:tcPr>
            <w:tcW w:type="dxa" w:w="2160"/>
          </w:tcPr>
          <w:p>
            <w:r>
              <w:t>RF-177</w:t>
            </w:r>
          </w:p>
        </w:tc>
        <w:tc>
          <w:tcPr>
            <w:tcW w:type="dxa" w:w="2160"/>
          </w:tcPr>
          <w:p>
            <w:r>
              <w:t>Banner SLA en flujo ARCO</w:t>
            </w:r>
          </w:p>
        </w:tc>
        <w:tc>
          <w:tcPr>
            <w:tcW w:type="dxa" w:w="2160"/>
          </w:tcPr>
          <w:p>
            <w:r>
              <w:t>MEDIO</w:t>
            </w:r>
          </w:p>
        </w:tc>
        <w:tc>
          <w:tcPr>
            <w:tcW w:type="dxa" w:w="2160"/>
          </w:tcPr>
          <w:p>
            <w:r>
              <w:t>El modal de flujo debe mostrar los días hábiles consumidos y restantes del SLA legal con un semáforo de color: verde (&gt;5 días), amarillo (2-5 días), rojo (&lt;2 días).</w:t>
            </w:r>
          </w:p>
        </w:tc>
      </w:tr>
      <w:tr>
        <w:tc>
          <w:tcPr>
            <w:tcW w:type="dxa" w:w="2160"/>
          </w:tcPr>
          <w:p>
            <w:r>
              <w:t>RF-178</w:t>
            </w:r>
          </w:p>
        </w:tc>
        <w:tc>
          <w:tcPr>
            <w:tcW w:type="dxa" w:w="2160"/>
          </w:tcPr>
          <w:p>
            <w:r>
              <w:t>Ficha de empresa con tabs</w:t>
            </w:r>
          </w:p>
        </w:tc>
        <w:tc>
          <w:tcPr>
            <w:tcW w:type="dxa" w:w="2160"/>
          </w:tcPr>
          <w:p>
            <w:r>
              <w:t>MEDIO</w:t>
            </w:r>
          </w:p>
        </w:tc>
        <w:tc>
          <w:tcPr>
            <w:tcW w:type="dxa" w:w="2160"/>
          </w:tcPr>
          <w:p>
            <w:r>
              <w:t>El listado de empresas debe ofrecer acceso a una ficha de empresa con tabs: Datos (edición), RATs (listado), ARCO (tickets), Brechas. Cada tab carga datos al seleccionarse.</w:t>
            </w:r>
          </w:p>
        </w:tc>
      </w:tr>
      <w:tr>
        <w:tc>
          <w:tcPr>
            <w:tcW w:type="dxa" w:w="2160"/>
          </w:tcPr>
          <w:p>
            <w:r>
              <w:t>RF-179</w:t>
            </w:r>
          </w:p>
        </w:tc>
        <w:tc>
          <w:tcPr>
            <w:tcW w:type="dxa" w:w="2160"/>
          </w:tcPr>
          <w:p>
            <w:r>
              <w:t>Escaneo de dependencias CVE</w:t>
            </w:r>
          </w:p>
        </w:tc>
        <w:tc>
          <w:tcPr>
            <w:tcW w:type="dxa" w:w="2160"/>
          </w:tcPr>
          <w:p>
            <w:r>
              <w:t>ALTO</w:t>
            </w:r>
          </w:p>
        </w:tc>
        <w:tc>
          <w:tcPr>
            <w:tcW w:type="dxa" w:w="2160"/>
          </w:tcPr>
          <w:p>
            <w:r>
              <w:t>El pipeline CI debe incluir escaneo automático de vulnerabilidades CVE en las dependencias Python. Las vulnerabilidades CRITICAL bloquean el deploy; las HIGH generan advertencias.</w:t>
            </w:r>
          </w:p>
        </w:tc>
      </w:tr>
    </w:tbl>
    <w:p>
      <w:pPr>
        <w:pStyle w:val="Heading2"/>
      </w:pPr>
      <w:r>
        <w:t>1.2 Requisitos No Funcionales</w:t>
      </w:r>
    </w:p>
    <w:tbl>
      <w:tblPr>
        <w:tblStyle w:val="TableGrid"/>
        <w:tblW w:type="auto" w:w="0"/>
        <w:tblLook w:firstColumn="1" w:firstRow="1" w:lastColumn="0" w:lastRow="0" w:noHBand="0" w:noVBand="1" w:val="04A0"/>
      </w:tblPr>
      <w:tblGrid>
        <w:gridCol w:w="2880"/>
        <w:gridCol w:w="2880"/>
        <w:gridCol w:w="2880"/>
      </w:tblGrid>
      <w:tr>
        <w:tc>
          <w:tcPr>
            <w:tcW w:type="dxa" w:w="2880"/>
            <w:shd w:fill="1F497D" w:color="auto" w:val="clear"/>
          </w:tcPr>
          <w:p>
            <w:r>
              <w:rPr>
                <w:b/>
                <w:color w:val="FFFFFF"/>
              </w:rPr>
              <w:t>ID</w:t>
            </w:r>
          </w:p>
        </w:tc>
        <w:tc>
          <w:tcPr>
            <w:tcW w:type="dxa" w:w="2880"/>
            <w:shd w:fill="1F497D" w:color="auto" w:val="clear"/>
          </w:tcPr>
          <w:p>
            <w:r>
              <w:rPr>
                <w:b/>
                <w:color w:val="FFFFFF"/>
              </w:rPr>
              <w:t>Nombre</w:t>
            </w:r>
          </w:p>
        </w:tc>
        <w:tc>
          <w:tcPr>
            <w:tcW w:type="dxa" w:w="2880"/>
            <w:shd w:fill="1F497D" w:color="auto" w:val="clear"/>
          </w:tcPr>
          <w:p>
            <w:r>
              <w:rPr>
                <w:b/>
                <w:color w:val="FFFFFF"/>
              </w:rPr>
              <w:t>Descripción</w:t>
            </w:r>
          </w:p>
        </w:tc>
      </w:tr>
      <w:tr>
        <w:tc>
          <w:tcPr>
            <w:tcW w:type="dxa" w:w="2880"/>
          </w:tcPr>
          <w:p>
            <w:r>
              <w:t>RNF-21</w:t>
            </w:r>
          </w:p>
        </w:tc>
        <w:tc>
          <w:tcPr>
            <w:tcW w:type="dxa" w:w="2880"/>
          </w:tcPr>
          <w:p>
            <w:r>
              <w:t>Nomenclatura APDP</w:t>
            </w:r>
          </w:p>
        </w:tc>
        <w:tc>
          <w:tcPr>
            <w:tcW w:type="dxa" w:w="2880"/>
          </w:tcPr>
          <w:p>
            <w:r>
              <w:t>Toda referencia a la agencia reguladora chilena debe usar 'APDP' (Agencia de Protección de Datos Personales), no 'APDC'.</w:t>
            </w:r>
          </w:p>
        </w:tc>
      </w:tr>
      <w:tr>
        <w:tc>
          <w:tcPr>
            <w:tcW w:type="dxa" w:w="2880"/>
          </w:tcPr>
          <w:p>
            <w:r>
              <w:t>RNF-22</w:t>
            </w:r>
          </w:p>
        </w:tc>
        <w:tc>
          <w:tcPr>
            <w:tcW w:type="dxa" w:w="2880"/>
          </w:tcPr>
          <w:p>
            <w:r>
              <w:t>Rate limit verificación titular</w:t>
            </w:r>
          </w:p>
        </w:tc>
        <w:tc>
          <w:tcPr>
            <w:tcW w:type="dxa" w:w="2880"/>
          </w:tcPr>
          <w:p>
            <w:r>
              <w:t>GET /publico/verificar-titular debe estar limitado a 20 llamadas/minuto por IP para prevenir enumeración de emails.</w:t>
            </w:r>
          </w:p>
        </w:tc>
      </w:tr>
    </w:tbl>
    <w:p>
      <w:pPr>
        <w:pStyle w:val="Heading1"/>
      </w:pPr>
      <w:r>
        <w:t>2. Requisitos Anteriores Vigentes</w:t>
      </w:r>
    </w:p>
    <w:p>
      <w:r>
        <w:t>Los requisitos RF-001 a RF-173 documentados en versiones anteriores permanecen vigentes. Ver 02_Requisitos_v1.10.docx para el detalle completo.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