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CUST-DOC-02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LEVANTAMIENTO DE REQUISITOS</w:t>
      </w:r>
    </w:p>
    <w:p>
      <w:pPr>
        <w:spacing w:after="480"/>
        <w:jc w:val="center"/>
      </w:pPr>
      <w:r>
        <w:rPr>
          <w:i/>
          <w:color w:val="2E74B5"/>
          <w:sz w:val="28"/>
        </w:rPr>
        <w:t>Requisitos Funcionales y No Funcionales · Ley 21.719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v1.7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documento de requisitos.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Auditoría técnica: módulos Consentimientos (RF-095 a RF-098) y Tickets ARCO (RF-099 a RF-105).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_Auditoría v1.2: módulo Feriados (RF-110 a RF-113), fixes P0 (token blacklist, IDOR, CSV sanitize, hash chain)._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RBAC fixes DT-014 (RF-114), DT-015 (RF-115), /health endpoint (RF-116)._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_Integración OCI Object Storage (RF-117), Admin Asesor IA (RF-118), descarga con PAR/signed GET (RF-119)._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_Seguridad: CSRF (RF-120), Encryption at Rest Fernet (RF-121), Service Layer (RF-122), Schemas Pydantic (RF-123)._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_UI/UX: RatDetailModal tabs (RF-124), Drawer responsive (RF-125), Dashboard clickable (RF-126), Sort estable (RF-127), Fix IDOR /archivo (RF-128)._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_Sprint 1: FORMADMIN ARCO QW1-QW10 (RF-129 a RF-136). Sprint 2: SLA Alert T-2d (RF-137 a RF-138), Export ARCO CSV/Excel/PDF (RF-139 a RF-140)._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Levantamiento de Requisitos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levanta, en formato numerado y trazable, los requisitos funcionales (RF) y no funcionales (RNF) del sistema Custodio RAT Manager, derivados del código fuente y de la documentación existente. Cada requisito tiene un identificador único que será referenciado por las Historias de Usuario (HU-###), los Casos de Uso (CU-###) y los Casos de Prueba (TC-###).</w:t>
      </w:r>
    </w:p>
    <w:p>
      <w:pPr>
        <w:pStyle w:val="Heading1"/>
      </w:pPr>
      <w:r>
        <w:t>2. Actores del sistema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Actor</w:t>
            </w:r>
          </w:p>
        </w:tc>
        <w:tc>
          <w:tcPr>
            <w:tcW w:type="dxa" w:w="63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Superadministrador (superadmin)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Usuario con acceso total al sistema.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Administrador de empresa (admin_empresa)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Gestiona usuarios, RATs, brechas de su empresa. No ve otras empresas.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Usuario (usuario)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Consulta y operación limitada. No puede eliminar ni gestionar usuarios.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DPO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Contacto en la empresa (contacto_dpo, email_dpo).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Titular de datos (externo)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Formulario público ARCO en /solicitud_derecho.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Auditor / APDC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Descarga evidencia vía PDF, CSV, CNI.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Sistema de IA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Servicio externo opcional (OpenAI/MiniMax).</w:t>
            </w:r>
          </w:p>
        </w:tc>
      </w:tr>
    </w:tbl>
    <w:p>
      <w:pPr>
        <w:pStyle w:val="Heading1"/>
      </w:pPr>
      <w:r>
        <w:t>3. Requisitos funcionales (RF)</w:t>
      </w:r>
    </w:p>
    <w:p>
      <w:pPr>
        <w:pStyle w:val="Heading2"/>
      </w:pPr>
      <w:r>
        <w:t>3.1 Módulo de autenticación y usuarios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Login con JWT (8h) y cookie httpOnly.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Cambiar password propio (6 chars mínimo).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Admin cambia password de cualquier usuario.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_Logout con revocación de token (blacklist LRU 1000 slots)._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Rate limit login 5/min por IP.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Auto-seed superadmin con SEED_ADMIN=true.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Roles: superadmin, admin_empresa, usuario.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Listar, actualizar y eliminar usuarios.</w:t>
            </w:r>
          </w:p>
        </w:tc>
      </w:tr>
    </w:tbl>
    <w:p>
      <w:pPr>
        <w:pStyle w:val="Heading2"/>
      </w:pPr>
      <w:r>
        <w:t>3.2 Módulo de empresas y multi-tenancy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CRUD empresas con RUT chileno validado.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Editar y eliminar empresas (superadmin para eliminar).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Asignar usuarios a empresas (tabla user_companies).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Aislamiento multi-tenant con check_company_access (IDOR protection).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Selección de empresa activa desde Topbar/sidebar.</w:t>
            </w:r>
          </w:p>
        </w:tc>
      </w:tr>
    </w:tbl>
    <w:p>
      <w:pPr>
        <w:pStyle w:val="Heading2"/>
      </w:pPr>
      <w:r>
        <w:t>3.3 Módulo RAT (Art. 15 y 16 Ley 21.719)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7 campos mínimos RAT del Art. 16.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3 campos recomendados adicionales.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Marcar RAT como 'datos_sensibles'.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EIPD (Evaluación de Impacto) por RAT.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Base legal (6 opciones).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Test de 3 pasos para interés legítimo.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Adjuntar documento de base legal (5 MB).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Cálculo automático de completitud.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Cálculo de nivel de riesgo (bajo/medio/alto/crítico).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Transiciones de estado: borrador→completo→en_revision→aprobado.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Duplicar RAT con prefijo 'Copia de'.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Eliminar RAT con confirmación.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_Registro de auditoría en audit_log con hash chain._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Registrar revisión periódica (POST /rats/{id}/revision).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Aprobar RAT (POST /rats/{id}/aprobar).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_Descargar documento de base legal (GET /rats/{id}/archivo) con fallback OCI._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_Almacenar documentos de base legal en OCI Object Storage con fallback a BYTEA._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_Descarga de archivos con URL pre-firmada (PAR) o signed GET directo._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RF-120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_CSRF protection con cookies samesite=lax y CSRFMiddleware._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RF-121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_Encryption at Rest con Fernet para BYTEA (RAT + EncargadoContrato + tkt_adjuntos)._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RF-122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_Service Layer: 5 servicios nuevos (EIPD, Feriado, Consentimiento, EncargadoContrato, SolicitudDerecho)._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RF-123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_Schemas Pydantic response_model en 35+ endpoints._</w:t>
            </w:r>
          </w:p>
        </w:tc>
      </w:tr>
    </w:tbl>
    <w:p>
      <w:pPr>
        <w:pStyle w:val="Heading2"/>
      </w:pPr>
      <w:r>
        <w:t>3.4 Módulo de sugerencias de RAT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RF-040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Listar tipos de proceso (GET /rats/sugerencias/tipos).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RF-041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Sugerencia precompletada por tipo (POST /rats/sugerencias).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RF-042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Gestionar rubros y RATs sugeridos.</w:t>
            </w:r>
          </w:p>
        </w:tc>
      </w:tr>
    </w:tbl>
    <w:p>
      <w:pPr>
        <w:pStyle w:val="Heading2"/>
      </w:pPr>
      <w:r>
        <w:t>3.5 Módulo de brechas de seguridad (Art. 14 bis)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Registro de brecha con descripción, fecha, RATs afectados, datos comprometidos.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Alerta de plazo APDC 72h.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Editar y eliminar brechas.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Filtrar brechas por empresa.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RBAC: rol usuario NO puede crear brechas (DT-015, 6209e2d). Retorna 403.</w:t>
            </w:r>
          </w:p>
        </w:tc>
      </w:tr>
    </w:tbl>
    <w:p>
      <w:pPr>
        <w:pStyle w:val="Heading2"/>
      </w:pPr>
      <w:r>
        <w:t>3.6 Módulo de derechos ARCO (Art. 14 y 16 bis)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Formulario público /solicitud_derecho para ejercer derechos ARCO.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Token temporal 5 min contra ataques automatizados.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Titular se identifica con nombre, RUT opcional, email, descripción 2000 chars.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Ticket de gestión (TktSolicitudDerecho) creado automáticamente.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Equipo responde: cambia estado y registra historial.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Adjuntar notas y archivos al ticket.</w:t>
            </w:r>
          </w:p>
        </w:tc>
      </w:tr>
    </w:tbl>
    <w:p>
      <w:pPr>
        <w:pStyle w:val="Heading2"/>
      </w:pPr>
      <w:r>
        <w:t>3.7 Módulo de Consentimientos (Art. 12 Ley 21.719)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Registrar consentimiento expreso: nombre titular, email, canal, texto, fecha.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Almacenar IP de origen (ip_origen) para cada consentimiento.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Revocar consentimiento: marca como inactivo + fecha revocación.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Asociar consentimiento a RAT (N:1) y empresa (N:1).</w:t>
            </w:r>
          </w:p>
        </w:tc>
      </w:tr>
    </w:tbl>
    <w:p>
      <w:pPr>
        <w:pStyle w:val="Heading2"/>
      </w:pPr>
      <w:r>
        <w:t>3.8 Módulo de Tickets ARCO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Crear ticket ARCO manualmente asociado a empresa.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Gestionar estado: ABIERTO, EN_PROCESO, PENDIENTE, RESUELTO.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Gestionar prioridad: BAJA, NORMAL, URGENTE.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Registrar origen: WEB, EMAIL, TELEFONO, PRESENCIAL, MANUAL.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Agregar notas internas con usuario y timestamp.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Historial de cambios de estado.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Fecha de vencimiento SLA 10 días hábiles Chile.</w:t>
            </w:r>
          </w:p>
        </w:tc>
      </w:tr>
    </w:tbl>
    <w:p>
      <w:pPr>
        <w:pStyle w:val="Heading2"/>
      </w:pPr>
      <w:r>
        <w:t>3.9 Módulo EIPD (Art. 15 bis Ley 21.719)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Gestionar Evaluaciones de Impacto en Protección de Datos (EIPD) asociadas a RATs.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Crear EIPD vinculado 1:1 a un RAT.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Actualizar EIPD con workflow (borrador → en proceso → completado).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Listar EIPDs de la empresa con filtros.</w:t>
            </w:r>
          </w:p>
        </w:tc>
      </w:tr>
    </w:tbl>
    <w:p>
      <w:pPr>
        <w:pStyle w:val="Heading2"/>
      </w:pPr>
      <w:r>
        <w:t>3.10 Módulo de reportes y exportaciones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Sanitizar CSV contra inyección (=, +, -, @ prefix apostrophe).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Exportar RATs a PDF (GET /rats/export/pdf).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Exportar RAT individual a PDF.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Exportar RAT en formato CNI.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Filtros y ordenamiento con paginación.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KPIs por empresa (GET /rats/dashboard/{company_id}).</w:t>
            </w:r>
          </w:p>
        </w:tc>
      </w:tr>
    </w:tbl>
    <w:p>
      <w:pPr>
        <w:pStyle w:val="Heading2"/>
      </w:pPr>
      <w:r>
        <w:t>3.11 Módulo de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RF-080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Registrar operaciones CRUD en audit_log.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RF-081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Hash chain en audit_log: SHA256(prev_hash + timestamp + ...).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RF-082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Auditoría global por empresa.</w:t>
            </w:r>
          </w:p>
        </w:tc>
      </w:tr>
    </w:tbl>
    <w:p>
      <w:pPr>
        <w:pStyle w:val="Heading2"/>
      </w:pPr>
      <w:r>
        <w:t>3.12 Módulo de Inteligencia Artificial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 (opcional)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Chat IA contextual (POST /ai/ask).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 (opcional)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Integración configurable: MINIMAX_API_KEY u OPENAI_API_KEY.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_Gestionar corpus del asesor IA (indexar, stats, eliminar chunks) por superadmin._</w:t>
            </w:r>
          </w:p>
        </w:tc>
      </w:tr>
    </w:tbl>
    <w:p>
      <w:pPr>
        <w:pStyle w:val="Heading2"/>
      </w:pPr>
      <w:r>
        <w:t>3.13 Módulo de Feriados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CRUD feriados nacionales chilenos (fecha, nombre, tipo).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Upload bulk CSV UTF-8 BOM.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Exportar feriados a CSV.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Cálculo de días hábiles Chile para SLA tickets ARCO.</w:t>
            </w:r>
          </w:p>
        </w:tc>
      </w:tr>
    </w:tbl>
    <w:p>
      <w:pPr>
        <w:pStyle w:val="Heading2"/>
      </w:pPr>
      <w:r>
        <w:t>3.14 Sprint 1: Formulario Admin ARCO QW1-QW10 (Junio 2026)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RF-129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Validar y formatear RUT chileno en vivo con algoritmo dígito verificador + formateo automático (12.345.678-9).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RF-130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Confirmación de email (doble input) con validación visual: borde rojo si no coinciden.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RF-131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Tooltip ⓘ en campo Tipo con Arts. 12, 12 bis, 12 ter Ley 21.719 visibles.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RF-132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Helper text en Prioridad: '2 días hábiles / 10 días hábiles / sin urgencia'.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RF-133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Detección de titular duplicado: banner amarillo expandable tras debounce 800ms (GET /check-duplicado).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RF-134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Selector RAT con búsqueda: debounce 300ms, listarRats(), pre-selección.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RF-135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Campos representante legal (nombre + RUT) en sección colapsable (80% sin representante).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RF-136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Date picker para fecha retroactiva: max=hoy. Nuevos campos: telefono, pais, fecha_nacimiento.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RF-137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WCAG básico: aria-label y aria-required en todos los campos del formulario.</w:t>
            </w:r>
          </w:p>
        </w:tc>
      </w:tr>
    </w:tbl>
    <w:p>
      <w:pPr>
        <w:pStyle w:val="Heading2"/>
      </w:pPr>
      <w:r>
        <w:t>3.15 Sprint 2: SLA Alert T-2d + Export ARCO (Junio 2026)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RF-138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SLA Alert T-2 días: TaskType.SLA_ALERT_T2, _run_sla_alert_t2() detecta tickets con ≤2 días o vencidos, agrupados por empresa, email grupal al DPO con tabla HTML.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RF-139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GitHub Actions workflow sla-alert.yml: cron cada 4h + workflow_dispatch, encola tarea SLA_ALERT_T2.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RF-140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Export tickets ARCO CSV/Excel/PDF: export_tkt_service.py con csv.writer, openpyxl y reportlab. Endpoints GET /export/tkt/{csv,excel,pdf} con 5 filtros.</w:t>
            </w:r>
          </w:p>
        </w:tc>
      </w:tr>
    </w:tbl>
    <w:p>
      <w:pPr>
        <w:pStyle w:val="Heading1"/>
      </w:pPr>
      <w:r>
        <w:t>4. Requisitos No Funcionales</w:t>
      </w:r>
    </w:p>
    <w:p>
      <w:pPr>
        <w:pStyle w:val="Heading2"/>
      </w:pPr>
      <w:r>
        <w:t>4.1 Seguridad y autenticación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Contraseñas hasheadas con bcrypt (passlib + bcrypt).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JWT HS256 con expiración 8h.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Cookies httpOnly y Secure en producción.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Revocación de tokens con blacklist LRU (1000 slots).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RNF-005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Rate limiting: login 5/min, cambio password 5/min, ARCO 3/hora, logout 10/min.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RNF-006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CORS estricto: regex 'https://.*\.vercel\.app'.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RNF-007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SECRET_KEY obligatoria en producción.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RNF-008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Sanitización CSV contra inyección de fórmulas.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RNF-009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Validación de acceso por empresa en todos los endpoints con company_id.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RNF-114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RBAC: admin_empresa solo crea RATs en sus empresas asignadas (DT-014).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RNF-115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RBAC: rol usuario no puede crear brechas de seguridad (DT-015).</w:t>
            </w:r>
          </w:p>
        </w:tc>
      </w:tr>
    </w:tbl>
    <w:p>
      <w:pPr>
        <w:pStyle w:val="Heading2"/>
      </w:pPr>
      <w:r>
        <w:t>4.2 Rendimiento y disponibilidad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/health/db responde en menos de 500ms.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Paginación: 200 RATs por defecto, 50 por página en reportes.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Disponibilidad 99.5% en Vercel.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PDF de RAT individual en menos de 3s.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Optimización N+1 con selectinload/joinedload.</w:t>
            </w:r>
          </w:p>
        </w:tc>
      </w:tr>
    </w:tbl>
    <w:p>
      <w:pPr>
        <w:pStyle w:val="Heading2"/>
      </w:pPr>
      <w:r>
        <w:t>4.3 Cumplimiento normativo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Campos mínimos RAT del Art. 16.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Alertas: consentimiento inválido biometría, EIPD obligatoria, plazos 72h, transferencias.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Exportación RAT en formato CNI para APDC.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Ejercicio de derechos ARCO (Art. 14 y 16 bis).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PII masking en logs (email, RUT, IP, tokens, passwords).</w:t>
            </w:r>
          </w:p>
        </w:tc>
      </w:tr>
    </w:tbl>
    <w:p>
      <w:pPr>
        <w:pStyle w:val="Heading2"/>
      </w:pPr>
      <w:r>
        <w:t>4.4 Usabilidad y accesibilidad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Responsive: sidebar colapsa a menú hamburguesa &lt; 768px.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Navegación completa por teclado en flujos principales.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Toasts (Sonner) en operaciones exitosas y erróneas.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Wizard de 4 pasos con barra de progreso para RAT.</w:t>
            </w:r>
          </w:p>
        </w:tc>
      </w:tr>
    </w:tbl>
    <w:p>
      <w:pPr>
        <w:pStyle w:val="Heading2"/>
      </w:pPr>
      <w:r>
        <w:t>4.5 Mantenibilidad y calidad de código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Cobertura de tests mínima 80% en endpoints críticos.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Patrón: rutas → servicios → modelos con schemas Pydantic separados.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TypeScript strict mode en frontend.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Migración SQLite → PostgreSQL (Neon) sin pérdida.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Patrón Repository (app/repositories/) para separar lógica de acceso a datos.</w:t>
            </w:r>
          </w:p>
        </w:tc>
      </w:tr>
    </w:tbl>
    <w:p>
      <w:pPr>
        <w:pStyle w:val="Heading1"/>
      </w:pPr>
      <w:r>
        <w:t>5. Restricciones y supuestos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Plataforma: </w:t>
      </w:r>
      <w:r>
        <w:rPr>
          <w:sz w:val="22"/>
        </w:rPr>
        <w:t>Vercel serverless: máx 60s hobby, 300s pro por request.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Almacenamiento: </w:t>
      </w:r>
      <w:r>
        <w:rPr>
          <w:sz w:val="22"/>
        </w:rPr>
        <w:t>Archivos en OCI Object Storage con fallback a BYTEA (límite 5 MB).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Disponibilidad: </w:t>
      </w:r>
      <w:r>
        <w:rPr>
          <w:sz w:val="22"/>
        </w:rPr>
        <w:t>Dependencia de Neon PostgreSQL en producción.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Marco legal: </w:t>
      </w:r>
      <w:r>
        <w:rPr>
          <w:sz w:val="22"/>
        </w:rPr>
        <w:t>Ley 21.719 entra en vigencia general el 1-dic-2026.</w:t>
      </w:r>
    </w:p>
    <w:p>
      <w:pPr>
        <w:pStyle w:val="Heading1"/>
      </w:pPr>
      <w:r>
        <w:t>6. Trazabilidad</w:t>
      </w:r>
    </w:p>
    <w:p>
      <w:r>
        <w:rPr>
          <w:sz w:val="22"/>
        </w:rPr>
        <w:t>La matriz de trazabilidad completa (CUST-DOC-MATRIZ) vincula RF → HU → CU → TC.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R-RF-01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Sin hash chain previo a v1.2, auditoría histórica no verificable.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R-RF-02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Pendientes: Z-01 (security headers), Z-02 (CORS restrictivo), Z-03 (file upload validation).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Requisito Funcional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Capacidad observable del sistema.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RNF-###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Requisito No Funcional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Restricción de calidad o seguridad.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AC-###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Actor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Persona o sistema que interactúa con el sistema.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Levantamiento de Requisitos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Levantamiento de Requisitos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v1.7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