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v1.9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módulos Consentimientos (RF-095 a RF-098) y Tickets ARCO (RF-099 a RF-105).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(RF-110 a RF-113), fixes P0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 (RF-114), DT-015 (RF-115), /health endpoint (RF-116)._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_Integración OCI Object Storage (RF-117), Admin Asesor IA (RF-118), descarga con PAR/signed GET (RF-119)._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(RF-120), Encryption at Rest Fernet (RF-121), Service Layer (RF-122), Schemas Pydantic (RF-123)._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tabs (RF-124), Drawer responsive (RF-125), Dashboard clickable (RF-126), Sort estable (RF-127), Fix IDOR /archivo (RF-128)._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 (RF-129 a RF-136). Sprint 2: SLA Alert T-2d (RF-137 a RF-138), Export ARCO CSV/Excel/PDF (RF-139 a RF-140).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11: 15 campos Tier 1+Tier 2 RAT (RF-141 a RF-149). Iter 12: 9 fixes CRITICOS+ALTOS (RF-150 a RF-158). Score 6.3/10 (RAT 6.2, ARCO 6.8, Brechas 5.9)._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en 6 endpoints (RF-163). base_legal_valida strict (RF-164). ConsentimientoAlert (RF-165). Homologación orden campos RAT (RF-166). PDF con títulos sección (RF-167). Encoding UTF-8 fix (RF-168). Código muerto eliminado (RF-169)._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existente. Cada requisito tiene un identificador único que será referenciado por las Historias de Usuario (HU-###), los Casos de Uso (CU-###) y los Casos de Prueba (TC-###).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Gestiona usuarios, RATs, brechas de su empresa. No ve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Consulta y operación limitada.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DPO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Contacto en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Formulario público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APDC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Descarga evidencia vía PDF, CSV,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(OpenAI/MiniMax).</w:t>
            </w:r>
          </w:p>
        </w:tc>
      </w:tr>
    </w:tbl>
    <w:p>
      <w:pPr>
        <w:pStyle w:val="Heading1"/>
      </w:pPr>
      <w:r>
        <w:t>3. Requisitos funcionales (RF)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Login con JWT (8h) y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Cambiar password propio (6 chars mínimo).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Admin cambia password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_Logout con revocación de token (blacklist LRU 1000 slots)._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Rate limit login 5/min por IP.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Auto-seed superadmin con SEED_ADMIN=true.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Roles: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Listar, actualizar y eliminar usuarios.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CRUD empresas con RUT chileno validado.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empresas (superadmin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Asignar usuarios a empresas (tabla user_companies).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Aislamiento multi-tenant con check_company_access (IDOR protection).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Selección de empresa activa desde Topbar/sidebar.</w:t>
            </w:r>
          </w:p>
        </w:tc>
      </w:tr>
    </w:tbl>
    <w:p>
      <w:pPr>
        <w:pStyle w:val="Heading2"/>
      </w:pPr>
      <w:r>
        <w:t>3.3 Módulo RAT (Art. 15 y 16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7 campos mínimos RAT del Art. 16.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3 campos recomendados adicionales.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Marcar RAT como 'datos_sensibles'.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EIPD (Evaluación de Impacto) por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Base legal (6 opciones).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Test de 3 pasos para interés legítimo (mínimo 50 caracteres).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documento de base legal (límite 10 MB).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de nivel de riesgo (bajo/medio/alto/crítico).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Transiciones de estado: borrador→completo→en_revision→aprobado.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Duplicar RAT con prefijo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Eliminar RAT con confirmación.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_Registro de auditoría en audit_log con hash chain._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revisión periódica (POST /rats/{id}/revision).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Aprobar RAT (POST /rats/{id}/aprobar).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_Descargar documento de base legal (GET /rats/{id}/archivo) con fallback OCI._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_Almacenar documentos de base legal en OCI Object Storage con fallback a BYTEA._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 de archivos con URL pre-firmada (PAR) o signed GET directo._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_CSRF protection con cookies samesite=lax y CSRFMiddleware._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_Encryption at Rest con Fernet para BYTEA (RAT + EncargadoContrato + tkt_adjuntos)._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_Service Layer: 5 servicios nuevos (EIPD, Feriado, Consentimiento, EncargadoContrato, SolicitudDerecho)._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_Schemas Pydantic response_model en 35+ endpoints._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 tipos de proceso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Sugerencia precompletada por tipo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rubros y RATs sugeridos.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Registro de brecha con descripción, fecha, RATs afectados, datos comprometidos.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Alerta de plazo APDC 72h.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brechas.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Filtrar brechas por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(DT-015, 6209e2d). Retorna 403.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 al marcar notificado_apdc=true en actualizar_brecha (Art. 28.3 Ley 21.719).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a titulares automatizada al marcar notificado_titulares=true en actualizar_brecha (sin dilación, Art. 14 bis).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Formulario público /solicitud_derecho para ejercer derechos ARCO.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Token temporal 5 min contra ataques automatizados.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Titular se identifica con nombre, RUT opcional, email, descripción 2000 chars.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Ticket de gestión (TktSolicitudDerecho) creado automáticamente.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Equipo responde: cambia estado y registra historial.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notas y archivos al ticket.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SHA-256 de evidencia computado automáticamente al resolver TKT (hash de todos los adjuntos del ticket).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causal_rechazo con enum cerrado (7 causales Art. 29 RL): falta_identidad, solicitud_manifiestamente_infundada, solicitud_excesiva, falta_poder_notorial, plazo_vencido, identidad_no_verificada, otro.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Touch target toggle ARCO de 44x44px en formulario público /solicitud_derecho (mobile accessibility WCAG 2.1).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TKT no puede resolverse como 'resuelto' sin evidencia ni hash (validación HTTP 400 en PATCH /tkt-solicitud-derecho/{id}).</w:t>
            </w:r>
          </w:p>
        </w:tc>
      </w:tr>
    </w:tbl>
    <w:p>
      <w:pPr>
        <w:pStyle w:val="Heading2"/>
      </w:pPr>
      <w:r>
        <w:t>3.7 Módulo de Consentimientos (Art. 12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consentimiento expreso: nombre titular, email, canal, texto, fecha.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Almacenar IP de origen (ip_origen) para cada consentimiento.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Revocar consentimiento: marca como inactivo + fecha revocación.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Asociar consentimiento a RAT (N:1) y empresa (N:1).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Crear ticket ARCO manualmente asociado a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estado: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prioridad: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origen: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Agregar notas internas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Fecha de vencimiento SLA 10 días hábiles Chile.</w:t>
            </w:r>
          </w:p>
        </w:tc>
      </w:tr>
    </w:tbl>
    <w:p>
      <w:pPr>
        <w:pStyle w:val="Heading2"/>
      </w:pPr>
      <w:r>
        <w:t>3.9 Módulo EIPD (Art. 15 bis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Gestionar Evaluaciones de Impacto en Protección de Datos (EIPD) asociadas a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Crear EIPD vinculado 1:1 a un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Actualizar EIPD con workflow (borrador → en proceso → completado).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Listar EIPDs de la empresa con filtros.</w:t>
            </w:r>
          </w:p>
        </w:tc>
      </w:tr>
    </w:tbl>
    <w:p>
      <w:pPr>
        <w:pStyle w:val="Heading2"/>
      </w:pPr>
      <w:r>
        <w:t>3.10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Sanitizar CSV contra inyección (=, +, -, @ prefix apostrophe).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RATs a PDF (GET /rats/export/pdf).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individual a PDF.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en formato CNI.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Filtros y ordenamiento con paginación.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KPIs por empresa (GET /rats/dashboard/{company_id}).</w:t>
            </w:r>
          </w:p>
        </w:tc>
      </w:tr>
    </w:tbl>
    <w:p>
      <w:pPr>
        <w:pStyle w:val="Heading2"/>
      </w:pPr>
      <w:r>
        <w:t>3.11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operaciones CRUD en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chain en audit_log: SHA256(prev_hash + timestamp + ...).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</w:tr>
    </w:tbl>
    <w:p>
      <w:pPr>
        <w:pStyle w:val="Heading2"/>
      </w:pPr>
      <w:r>
        <w:t>3.12 Módulo de Inteligencia Artificial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Chat IA contextual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Integración configurable: MINIMAX_API_KEY u OPENAI_API_KEY.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_Gestionar corpus del asesor IA (indexar, stats, eliminar chunks) por superadmin._</w:t>
            </w:r>
          </w:p>
        </w:tc>
      </w:tr>
    </w:tbl>
    <w:p>
      <w:pPr>
        <w:pStyle w:val="Heading2"/>
      </w:pPr>
      <w:r>
        <w:t>3.13 Módulo de Feriados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CRUD feriados nacionales chilenos (fecha, nombre, tipo).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Upload bulk CSV UTF-8 BOM.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Exportar feriados a CSV.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Cálculo de días hábiles Chile para SLA tickets ARCO.</w:t>
            </w:r>
          </w:p>
        </w:tc>
      </w:tr>
    </w:tbl>
    <w:p>
      <w:pPr>
        <w:pStyle w:val="Heading2"/>
      </w:pPr>
      <w:r>
        <w:t>3.14 Sprint 1: Formulario Admin ARCO QW1-QW10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Validar y formatear RUT chileno en vivo con algoritmo dígito verificador + formateo automático (12.345.678-9).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Confirmación de email (doble input) con validación visual: borde rojo si no coinciden.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Tooltip ⓘ en campo Tipo con Arts. 12, 12 bis, 12 ter Ley 21.719 visibles.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Helper text en Prioridad: '2 días hábiles / 10 días hábiles / sin urgencia'.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Detección de titular duplicado: banner amarillo expandable tras debounce 800ms (GET /check-duplicado).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Selector RAT con búsqueda: debounce 300ms, listarRats(), pre-selección.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Campos representante legal (nombre + RUT) en sección colapsable (80% sin representante).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Date picker para fecha retroactiva: max=hoy. Nuevos campos: telefono, pais, fecha_nacimiento.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WCAG básico: aria-label y aria-required en todos los campos del formulario.</w:t>
            </w:r>
          </w:p>
        </w:tc>
      </w:tr>
    </w:tbl>
    <w:p>
      <w:pPr>
        <w:pStyle w:val="Heading2"/>
      </w:pPr>
      <w:r>
        <w:t>3.15 Sprint 2: SLA Alert T-2d + Export ARCO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SLA Alert T-2 días: TaskType.SLA_ALERT_T2, _run_sla_alert_t2() detecta tickets con ≤2 días o vencidos, agrupados por empresa, email grupal al DPO con tabla HTML.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RF-139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GitHub Actions workflow sla-alert.yml: cron cada 4h + workflow_dispatch, encola tarea SLA_ALERT_T2.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 tickets ARCO CSV/Excel/PDF: export_tkt_service.py con csv.writer, openpyxl y reportlab. Endpoints GET /export/tkt/{csv,excel,pdf} con 5 filtros.</w:t>
            </w:r>
          </w:p>
        </w:tc>
      </w:tr>
    </w:tbl>
    <w:p>
      <w:pPr>
        <w:pStyle w:val="Heading2"/>
      </w:pPr>
      <w:r>
        <w:t>3.16 Iter 11: 15 Campos Tier 1+Tier 2 RAT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datos_nna: 'ninos', 'adolescentes', 'ambos', 'ninguno' — para identificar tratamiento de menores de edad (Art. 2 letra g + Art. 16 Ley 21.719).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nivel_confidencialidad: DC1/DC2/DC3/DC4 — nivel de confidencialidad del dato según clasificación interna.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estructura_dato: 'estructurado', 'semiestructurado', 'no_estructurado' — para diferenciar tipos de datos tratados.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datos_anonimizados: booleano — indica si los datos fueron anonimizados antes del tratamiento.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datos_seudonimizados: booleano — indica si los datos fueron seudonimizados.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ciclo_procesamiento: ciclo de vida del dato — 'recoleccion', 'almacenamiento', 'uso', 'comparticion', 'archivo', 'eliminacion'.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automatizacion: grado de automatización — '100% manual', 'mayoritariamente manual', 'mayoritariamente automatizado', '100% automatizado'.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frecuencia: 'puntual', 'diaria', 'semanal', 'mensual', 'trimestral', 'anual' — frecuencia de tratamiento.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RF-149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transferencia_nacional: booleano — indica si hay transferencias de datos dentro de Chile.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doc_clausulas: texto libre — documento/cláusula que da origen al tratamiento.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medidas_organizativas: texto libre — medidas organizativas de seguridad implementadas.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mecanismos_eliminacion: 'destruccion_fisica', 'borrado_seguro', 'devolucion_proveedor' — mecanismo de eliminación al fin del ciclo.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tecnica_anonimizacion: técnica usada — 'k_anonymity', 'perturbacion', 'pseudonimizacion', 'agregacion'.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origen_dato_portabilidad: 'directamente_titular', 'fuentes_publicas', 'de_terceros', 'generado_sistema' — origen del dato para portabilidad.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Campo fecha_levantamiento: fecha de la última actualización/levantamiento del registro RAT.</w:t>
            </w:r>
          </w:p>
        </w:tc>
      </w:tr>
    </w:tbl>
    <w:p>
      <w:pPr>
        <w:pStyle w:val="Heading2"/>
      </w:pPr>
      <w:r>
        <w:t>3.17 Iter 12: Fixes CRÍTICOS y ALTOS del Audit-Loop (Junio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BYTEA limitado a 10 MB: CHECK constraint octet_length &lt;= 10_000_000 en rats.archivo_base_legal_datos y tkt_adjuntos.data (PostgreSQL). DoS protection.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Test IL validación mínimo 50 caracteres: Pydantic Field(min_length=50) en test_interes_legitimo. RatWizard y RatEditForm validan en frontend con toast error si &lt;50 chars (Art. 16 Ley 21.719).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SHA-256 automático evidencia ARCO: PATCH /tkt-solicitud-derecho/{id} computa SHA-256 de todos los adjuntos al resolver. HTTP 400 si no hay evidencia ni hash.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RF-159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causal_rechazo enum cerrado: CausalRechazoEnum con 7 valores (Art. 29 RL): falta_identidad, solicitud_manifiestamente_infundada, solicitud_excesiva, falta_poder_notorial, plazo_vencido, identidad_no_verificada, otro. Dropdown en TicketDrawer.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Toggle ARCO touch target 44x44px: w-11 h-11 en solicitud_derecho/page.tsx. Mobile accessibility WCAG 2.1 Level AA.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automatizada: actualizar_brecha() envía email al DPO cuando notificado_apdc=true.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Notificación titulares automatizada: actualizar_brecha() loguea cuando notificado_titulares=true (preparado para automatizar por canal).</w:t>
            </w:r>
          </w:p>
        </w:tc>
      </w:tr>
    </w:tbl>
    <w:p>
      <w:pPr>
        <w:pStyle w:val="Heading2"/>
      </w:pPr>
      <w:r>
        <w:t>3.18 Fixes v1.9: IDOR multi-tenant, encoding, homologación y PDF (Julio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IDOR multi-tenant en 6 endpoints RAT: GET /rats/{id}, PUT /rats/{id}, DELETE /rats/{id}, POST /rats/{id}/revision, POST /rats/{id}/aprobar, GET /rats/{id}/auditoria. get_rat_for_user() retorna 404 si empresa no coincide (no filtra existencia), superadmin accede a todos.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base_legal_valida strict: validación contra enum taxativo (consentimiento, interes_legitimo, contrato, obligacion_legal, tarea_publica, interes_publico). Antes siempre retornaba v.strip() sin verificar.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ConsentimientoAlert en RatEditForm.handleSave(): listarConsentimientos(company_id, rat.id, true) antes de guardar. Si datos_sensibles=True y no hay consentimiento activo → toast error y no guarda.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Homologación orden campos RAT entre RatDetailView, RatEditForm, RatWizard y PDF: orden canónico de 5 pasos (Identificación → Datos tratados → Finalidad y ley → Almacenamiento → Compliance operativo). Eliminada sección duplicada en RatDetailView.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PDF con títulos de sección: PASO 1 — IDENTIFICACIÓN, PASO 2 — DATOS TRATADOS, etc. con fondo COLOR_PRIMARIO (#1B3A6B) y texto blanco bold. Alertas rojas (datos sensibles, transferencia internacional, EIPD pendiente) al final de cada ficha.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Encoding UTF-8 corregido en backend: ALERTAS_AUDITORIA (garabatos → emojis ⚠️🔒🚨📋🌍🤖⚖️⏳📄), regex a├▒o → año, base_legal_valida con tildes, conftest.py rat_base fixture, main.py log seed admin.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RF-169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Código muerto eliminado: return duplicado rats.py:291, model_dump duplicado rat_service.py:253.</w:t>
            </w:r>
          </w:p>
        </w:tc>
      </w:tr>
    </w:tbl>
    <w:p>
      <w:pPr>
        <w:pStyle w:val="Heading1"/>
      </w:pPr>
      <w:r>
        <w:t>4. Requisitos No Funcionales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Contraseñas hasheadas con bcrypt (passlib + bcrypt).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JWT HS256 con expiración 8h.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Cookies httpOnly y Secure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Revocación de tokens con blacklist LRU (1000 slots).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Rate limiting: login 5/min, cambio password 5/min, ARCO 3/hora, logout 10/min.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CORS estricto: regex 'https://.*\.vercel\.app'.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SECRET_KEY obligatoria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Sanitización CSV contra inyección de fórmulas.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Validación de acceso por empresa en todos los endpoints con company_id.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admin_empresa solo crea RATs en sus empresas asignadas (DT-014).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de seguridad (DT-015).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BYTEA con CHECK constraint 10 MB en PostgreSQL: rats.archivo_base_legal_datos, tkt_adjuntos.data. DoS protection.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/health/db responde en menos de 500ms.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Paginación: 200 RATs por defecto, 50 por página en reportes.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Disponibilidad 99.5% en Vercel.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PDF de RAT individual en menos de 3s.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Optimización N+1 con selectinload/joinedload.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Campos mínimos RAT del Art. 16.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Alertas: consentimiento inválido biometría, EIPD obligatoria, plazos 72h, transferencias.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Exportación RAT en formato CNI para APDC.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Ejercicio de derechos ARCO (Art. 14 y 16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PII masking en logs (email, RUT, IP, tokens, passwords).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Test IL mínimo 50 caracteres para ser válido como documentación (Art. 16 Ley 21.719).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causal_rechazo enum cerrado Art. 29 RL para rechazos ARCO.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Responsive: sidebar colapsa a menú hamburguesa &lt; 768px.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Navegación completa por teclado en flujos principales.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Wizard de 4 pasos con barra de progreso para RAT.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Touch target mínimo 44x44px en controles ARCO para accessibility mobile WCAG 2.1.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Cobertura de tests mínima 80% en endpoints críticos.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Patrón: rutas → servicios → modelos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TypeScript strict mode en frontend.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Migración SQLite → PostgreSQL (Neon) sin pérdida.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Patrón Repository (app/repositories/) para separar lógica de acceso a datos.</w:t>
            </w:r>
          </w:p>
        </w:tc>
      </w:tr>
    </w:tbl>
    <w:p>
      <w:pPr>
        <w:pStyle w:val="Heading1"/>
      </w:pPr>
      <w:r>
        <w:t>5. Restricciones y supuestos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Plataforma: </w:t>
      </w:r>
      <w:r>
        <w:rPr>
          <w:sz w:val="22"/>
        </w:rPr>
        <w:t>Vercel serverless: máx 60s hobby, 300s pro por request.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Archivos en OCI Object Storage con fallback a BYTEA (límite 10 MB por archivo).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Dependencia de Neon PostgreSQL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Ley 21.719 entra en vigencia general el 1-dic-2026.</w:t>
      </w:r>
    </w:p>
    <w:p>
      <w:pPr>
        <w:pStyle w:val="Heading1"/>
      </w:pPr>
      <w:r>
        <w:t>6. Trazabilidad</w:t>
      </w:r>
    </w:p>
    <w:p>
      <w:r>
        <w:rPr>
          <w:sz w:val="22"/>
        </w:rPr>
        <w:t>La matriz de trazabilidad completa (CUST-DOC-MATRIZ) vincula RF → HU → CU → TC.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hash chain previo a v1.2, auditoría histórica no verificable.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Z-01 (security headers), Z-02 (CORS restrictivo), Z-03 (file upload validation).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seguridad.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 o sistema que interactúa con el 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v1.9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