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(HU-064), Encryption at Rest (HU-065), Service Layer (HU-066), Schemas (HU-067)._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(HU-068), Drawer responsive (HU-069), Dashboard clickable (HU-070), Sort estable (HU-071)._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(HU-072 a HU-078). Sprint 2: SLA Alert T-2d (HU-079 a HU-081), Export ARCO (HU-082 a HU-085).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(HU-086 a HU-089). Iter 12: 9 fixes CRITICOS+ALTOS (HU-090 a HU-097). Score 6.3/10 (RAT 6.2, ARCO 6.8, Brechas 5.9)._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RAT (HU-098). base_legal_valida strict (HU-099). ConsentimientoAlert en handleSave (HU-100). Homologación orden campos RAT (HU-101). PDF con títulos sección (HU-102). Encoding UTF-8 fix (HU-103)._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de historias de usuario (selección nuevas)</w:t>
      </w:r>
    </w:p>
    <w:p>
      <w:pPr>
        <w:pStyle w:val="Heading2"/>
      </w:pPr>
      <w:r>
        <w:t>3.1 Iter 11: 15 Campos Tier 1+Tier 2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datos NNA en RAT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RF-142-149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nivel confidencialidad y estructura del dato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HU-088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RF-146-149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ciclo de procesamiento y frecuencia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HU-089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RF-150-155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campos operativos Tier 2</w:t>
            </w:r>
          </w:p>
        </w:tc>
      </w:tr>
    </w:tbl>
    <w:p>
      <w:pPr>
        <w:pStyle w:val="Heading2"/>
      </w:pPr>
      <w:r>
        <w:t>3.2 Iter 12: Fixes CRÍTICOS y ALTOS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Validar límite 10MB en archivos BYTEA (archivo_base_legal, tkt_adjunto)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Test IL con mínimo 50 caracteres como validación obligatoria (Art. 16)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Hash SHA-256 de evidencia ARCO computado automáticamente al resolver TKT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de 7 causales Art. 29 RL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HU-094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Toggle ARCO con touch target 44x44px para accessibility mobile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 ni hash (validación HTTP 400)</w:t>
            </w:r>
          </w:p>
        </w:tc>
      </w:tr>
    </w:tbl>
    <w:p>
      <w:pPr>
        <w:pStyle w:val="Heading2"/>
      </w:pPr>
      <w:r>
        <w:t>3.19 Fixes v1.10: IDOR multi-tenant, encoding, homologación y PDF (Julio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HU-098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IDOR multi-tenant en 6 endpoints RAT: get_rat_for_user() retorna 404 si empresa no coincide, superadmin accede a todos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HU-099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base_legal_valida strict: validación contra enum taxativo (6 opciones)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EP-11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ConsentimientoAlert: listarConsentimientos() antes de guardar si datos_sensibles=True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 (5 pasos canónicos)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PDF con títulos de sección (PASO 1— IDENTIFICACIÓN, etc.) con fondo COLOR_PRIMARIO y alertas rojas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Encoding UTF-8 corregido en backend: ALERTAS_AUDITORIA, regex, base_legal_valida, conftest.py, main.py</w:t>
            </w:r>
          </w:p>
        </w:tc>
      </w:tr>
    </w:tbl>
    <w:p>
      <w:pPr>
        <w:pStyle w:val="Heading1"/>
      </w:pPr>
      <w:r>
        <w:t>4. Épicas del producto (completo)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HUs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HU-001 a HU-009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HU-010 a HU-040, HU-086 a HU-089, HU-098 a HU-099, HU-101, HU-103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HU-041 a HU-049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HU-050 a HU-054, HU-095 a HU-096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HU-060 a HU-068, HU-092 a HU-094, HU-097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HU-070 a HU-080, HU-102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HU-040 a HU-041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HU-080 a HU-082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HU-090 a HU-094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HU-052 a HU-055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HU-056 a HU-059, HU-100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HU-061 a HU-063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