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(HU-064), Encryption at Rest (HU-065), Service Layer (HU-066), Schemas (HU-067)._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 (HU-068), Drawer responsive (HU-069), Dashboard clickable (HU-070), Sort estable (HU-071)._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 con blacklist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 (IDOR protection)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con hash chain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Verificar días hábiles en cálculo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admin_empresa crea RAT SOLO en sus empresas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usuario NO puede crear brechas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estado del sistema con /health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EIPD asociado a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Actualizar EIPD con workflow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Descargar documento de base legal con fallback OCI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stats y eliminar chunks del asesor IA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valida credenciales con bcrypt y emite JWT 8h.</w:t>
      </w:r>
    </w:p>
    <w:p>
      <w:pPr>
        <w:pStyle w:val="ListBullet"/>
        <w:spacing w:after="40"/>
        <w:ind w:left="340"/>
      </w:pPr>
      <w:r>
        <w:rPr>
          <w:sz w:val="22"/>
        </w:rPr>
        <w:t>El sistema setea cookie httpOnly 'custodio_token'.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el token blacklist antes de validar el JWT._</w:t>
      </w:r>
    </w:p>
    <w:p>
      <w:pPr>
        <w:pStyle w:val="ListBullet"/>
        <w:spacing w:after="40"/>
        <w:ind w:left="340"/>
      </w:pPr>
      <w:r>
        <w:rPr>
          <w:sz w:val="22"/>
        </w:rPr>
        <w:t>Rate limit 5/min por IP.</w:t>
      </w:r>
    </w:p>
    <w:p>
      <w:pPr>
        <w:pStyle w:val="Heading2"/>
      </w:pPr>
      <w:r>
        <w:t>HU-061 — _Descargar documento de base legal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RF-117/RF-119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_descargar el documento de base legal de un RAT de forma segura, con fallback automático_ para _garantizar disponibilidad del documento incluso si OCI no está disponible_.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intenta generar PAR (pre-signed URL) para descarga directa desde OCI._</w:t>
      </w:r>
    </w:p>
    <w:p>
      <w:pPr>
        <w:pStyle w:val="ListBullet"/>
        <w:spacing w:after="40"/>
        <w:ind w:left="340"/>
      </w:pPr>
      <w:r>
        <w:rPr>
          <w:sz w:val="22"/>
        </w:rPr>
        <w:t>_Si PAR falla, el sistema usa signed GET directo contra OCI Object Storage._</w:t>
      </w:r>
    </w:p>
    <w:p>
      <w:pPr>
        <w:pStyle w:val="ListBullet"/>
        <w:spacing w:after="40"/>
        <w:ind w:left="340"/>
      </w:pPr>
      <w:r>
        <w:rPr>
          <w:sz w:val="22"/>
        </w:rPr>
        <w:t>_Si OCI falla, el sistema retorna los bytes almacenados en BYTEA (PostgreSQL)._</w:t>
      </w:r>
    </w:p>
    <w:p>
      <w:pPr>
        <w:pStyle w:val="ListBullet"/>
        <w:spacing w:after="40"/>
        <w:ind w:left="340"/>
      </w:pPr>
      <w:r>
        <w:rPr>
          <w:sz w:val="22"/>
        </w:rPr>
        <w:t>_La descarga se registra en el log de auditoría._</w:t>
      </w:r>
    </w:p>
    <w:p>
      <w:pPr>
        <w:pStyle w:val="Heading2"/>
      </w:pPr>
      <w:r>
        <w:t>HU-062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_indexar nuevos documentos en el corpus del asesor IA_ para _mantener las sugerencias del chat IA actualizadas con la normativa vigente_.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superadmin selecciona archivos o directorios para indexar._</w:t>
      </w:r>
    </w:p>
    <w:p>
      <w:pPr>
        <w:pStyle w:val="ListBullet"/>
        <w:spacing w:after="40"/>
        <w:ind w:left="340"/>
      </w:pPr>
      <w:r>
        <w:rPr>
          <w:sz w:val="22"/>
        </w:rPr>
        <w:t>_El sistema chunkifica el contenido y lo almacena en asesor_chunks._</w:t>
      </w:r>
    </w:p>
    <w:p>
      <w:pPr>
        <w:pStyle w:val="ListBullet"/>
        <w:spacing w:after="40"/>
        <w:ind w:left="340"/>
      </w:pPr>
      <w:r>
        <w:rPr>
          <w:sz w:val="22"/>
        </w:rPr>
        <w:t>_El sistema retorna estadísticas: chunks indexados, omitidos, errores._</w:t>
      </w:r>
    </w:p>
    <w:p>
      <w:pPr>
        <w:pStyle w:val="Heading2"/>
      </w:pPr>
      <w:r>
        <w:t>HU-063 — _Ver stats y eliminar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_consultar estadísticas del corpus y eliminar chunks específicos_ para _mantener la calidad del corpus eliminando contenido irrelevante o duplicado_.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/admin/asesor/stats retorna: total chunks, fuentes, tamaño promedio._</w:t>
      </w:r>
    </w:p>
    <w:p>
      <w:pPr>
        <w:pStyle w:val="ListBullet"/>
        <w:spacing w:after="40"/>
        <w:ind w:left="340"/>
      </w:pPr>
      <w:r>
        <w:rPr>
          <w:sz w:val="22"/>
        </w:rPr>
        <w:t>_DELETE /admin/asesor/documents/{chunk_id} elimina un chunk específico._</w:t>
      </w:r>
    </w:p>
    <w:p>
      <w:pPr>
        <w:pStyle w:val="ListBullet"/>
        <w:spacing w:after="40"/>
        <w:ind w:left="340"/>
      </w:pPr>
      <w:r>
        <w:rPr>
          <w:sz w:val="22"/>
        </w:rPr>
        <w:t>_Las operaciones se registran en el log de auditoría._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(CSRF) y C1 (encryption)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