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  <w:pBdr>
          <w:top w:val="single" w:sz="16" w:space="4" w:color="1F497D"/>
          <w:left w:val="single" w:sz="16" w:space="4" w:color="1F497D"/>
          <w:bottom w:val="single" w:sz="16" w:space="4" w:color="1F497D"/>
          <w:right w:val="single" w:sz="16" w:space="4" w:color="1F497D"/>
        </w:pBdr>
        <w:shd w:val="clear" w:color="auto" w:fill="1F497D"/>
      </w:pPr>
      <w:r>
        <w:rPr>
          <w:b/>
          <w:color w:val="FFFFFF"/>
          <w:sz w:val="24"/>
        </w:rPr>
        <w:t xml:space="preserve">  ▣  CUSTODIO  ·  CUSTODIO RAT MANAGER  </w:t>
      </w:r>
    </w:p>
    <w:p>
      <w:pPr>
        <w:spacing w:before="720" w:after="120"/>
        <w:jc w:val="center"/>
      </w:pPr>
      <w:r>
        <w:rPr>
          <w:i/>
          <w:color w:val="808080"/>
          <w:sz w:val="22"/>
        </w:rPr>
        <w:t>CUST-DOC-04</w:t>
      </w:r>
    </w:p>
    <w:p/>
    <w:p/>
    <w:p>
      <w:pPr>
        <w:spacing w:after="240"/>
        <w:jc w:val="center"/>
      </w:pPr>
      <w:r>
        <w:rPr>
          <w:b/>
          <w:color w:val="1F497D"/>
          <w:sz w:val="56"/>
        </w:rPr>
        <w:t>CASOS DE USO</w:t>
      </w:r>
    </w:p>
    <w:p>
      <w:pPr>
        <w:spacing w:after="480"/>
        <w:jc w:val="center"/>
      </w:pPr>
      <w:r>
        <w:rPr>
          <w:i/>
          <w:color w:val="2E74B5"/>
          <w:sz w:val="28"/>
        </w:rPr>
        <w:t>Especificación formal de interacciones actor-sistema</w:t>
      </w:r>
    </w:p>
    <w:p/>
    <w:p/>
    <w:p>
      <w:pPr>
        <w:jc w:val="center"/>
        <w:pBdr>
          <w:bottom w:val="single" w:sz="12" w:space="1" w:color="2E74B5"/>
        </w:pBdr>
      </w:pPr>
      <w:r>
        <w:rPr>
          <w:sz w:val="4"/>
        </w:rPr>
        <w:t xml:space="preserve">  </w:t>
      </w:r>
    </w:p>
    <w:p/>
    <w:p/>
    <w:p>
      <w:pPr>
        <w:spacing w:after="40"/>
        <w:jc w:val="center"/>
      </w:pPr>
      <w:r>
        <w:rPr>
          <w:b/>
          <w:color w:val="1F497D"/>
          <w:sz w:val="22"/>
        </w:rPr>
        <w:t xml:space="preserve">Versión:  </w:t>
      </w:r>
      <w:r>
        <w:rPr>
          <w:color w:val="404040"/>
          <w:sz w:val="22"/>
        </w:rPr>
        <w:t>v1.6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Fecha de emisión:  </w:t>
      </w:r>
      <w:r>
        <w:rPr>
          <w:color w:val="404040"/>
          <w:sz w:val="22"/>
        </w:rPr>
        <w:t>Junio 2026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Autor:  </w:t>
      </w:r>
      <w:r>
        <w:rPr>
          <w:color w:val="404040"/>
          <w:sz w:val="22"/>
        </w:rPr>
        <w:t>Equipo de Desarrollo — Custodio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Empresa responsable:  </w:t>
      </w:r>
      <w:r>
        <w:rPr>
          <w:color w:val="404040"/>
          <w:sz w:val="22"/>
        </w:rPr>
        <w:t>Custodio SpA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Clasificación:  </w:t>
      </w:r>
      <w:r>
        <w:rPr>
          <w:color w:val="404040"/>
          <w:sz w:val="22"/>
        </w:rPr>
        <w:t>Interno — Confidencial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Producto:  </w:t>
      </w:r>
      <w:r>
        <w:rPr>
          <w:color w:val="404040"/>
          <w:sz w:val="22"/>
        </w:rPr>
        <w:t>Custodio RAT Manager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Marco regulatorio:  </w:t>
      </w:r>
      <w:r>
        <w:rPr>
          <w:color w:val="404040"/>
          <w:sz w:val="22"/>
        </w:rPr>
        <w:t>Ley N.° 21.719 — Chile</w:t>
      </w:r>
    </w:p>
    <w:p/>
    <w:p/>
    <w:p>
      <w:pPr>
        <w:jc w:val="center"/>
        <w:pBdr>
          <w:top w:val="single" w:sz="16" w:space="4" w:color="1F497D"/>
          <w:left w:val="single" w:sz="16" w:space="4" w:color="1F497D"/>
          <w:bottom w:val="single" w:sz="16" w:space="4" w:color="1F497D"/>
          <w:right w:val="single" w:sz="16" w:space="4" w:color="1F497D"/>
        </w:pBdr>
        <w:shd w:val="clear" w:color="auto" w:fill="1F497D"/>
      </w:pPr>
      <w:r>
        <w:rPr>
          <w:b/>
          <w:color w:val="FFFFFF"/>
          <w:sz w:val="20"/>
        </w:rPr>
        <w:t xml:space="preserve">  CUMPLIMIENTO DE LA LEY 21.719 DE PROTECCIÓN DE DATOS PERSONALES DE CHILE  </w:t>
      </w:r>
    </w:p>
    <w:p>
      <w:r>
        <w:br w:type="page"/>
      </w:r>
    </w:p>
    <w:p>
      <w:pPr>
        <w:pStyle w:val="Heading1"/>
      </w:pPr>
      <w:r>
        <w:t>Control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850"/>
            <w:shd w:val="clear" w:color="auto" w:fill="1F497D"/>
          </w:tcPr>
          <w:p>
            <w:r/>
            <w:r>
              <w:rPr>
                <w:b/>
                <w:color w:val="FFFFFF"/>
              </w:rPr>
              <w:t>Versión</w:t>
            </w:r>
          </w:p>
        </w:tc>
        <w:tc>
          <w:tcPr>
            <w:tcW w:type="dxa" w:w="1417"/>
            <w:shd w:val="clear" w:color="auto" w:fill="1F497D"/>
          </w:tcPr>
          <w:p>
            <w:r/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1701"/>
            <w:shd w:val="clear" w:color="auto" w:fill="1F497D"/>
          </w:tcPr>
          <w:p>
            <w:r/>
            <w:r>
              <w:rPr>
                <w:b/>
                <w:color w:val="FFFFFF"/>
              </w:rPr>
              <w:t>Autor</w:t>
            </w:r>
          </w:p>
        </w:tc>
        <w:tc>
          <w:tcPr>
            <w:tcW w:type="dxa" w:w="6004"/>
            <w:shd w:val="clear" w:color="auto" w:fill="1F497D"/>
          </w:tcPr>
          <w:p>
            <w:r/>
            <w:r>
              <w:rPr>
                <w:b/>
                <w:color w:val="FFFFFF"/>
              </w:rPr>
              <w:t>Cambios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Creación inicial del documento de casos de uso.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1.1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Auditoría técnica: CU-033 a CU-038 para Consentimientos y Tickets ARCO.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1.2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_Auditoría v1.2: módulo Feriados (CU-039 a CU-042), fixes P0 (blacklist, IDOR, CSV, hash chain)._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1.3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_Beta Launch: RBAC fixes DT-014/DT-015 (CU-043/CU-044), /health (CU-045), EIPD (CU-047), consentimientos (CU-046)._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1.4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_Post-OCI: descarga con fallback chain (CU-048), Admin Asesor IA (CU-049/CU-050)._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1.5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_Seguridad: CSRF (CU-051), Encryption at Rest (CU-052), Service Layer (CU-053), Schemas Pydantic (CU-054)._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1.6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  <w:u w:val="single"/>
              </w:rPr>
              <w:t>_UI/UX: RatDetailModal (CU-055), Drawer responsive (CU-056), Dashboard clickable (CU-057), Sort estable (CU-058)._</w:t>
            </w:r>
          </w:p>
        </w:tc>
      </w:tr>
    </w:tbl>
    <w:p/>
    <w:p>
      <w:pPr>
        <w:pStyle w:val="Heading2"/>
      </w:pPr>
      <w:r>
        <w:t>Estado del documento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497D"/>
          </w:tcPr>
          <w:p>
            <w:r/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986"/>
            <w:shd w:val="clear" w:color="auto" w:fill="1F497D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Nombre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Casos de Uso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Producto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Custodio RAT Manager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Marco regulatorio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Ley N.° 21.719 de Protección de Datos Personales (Chile)</w:t>
            </w:r>
          </w:p>
        </w:tc>
      </w:tr>
    </w:tbl>
    <w:p>
      <w:r>
        <w:br w:type="page"/>
      </w:r>
    </w:p>
    <w:p>
      <w:pPr>
        <w:pStyle w:val="Heading1"/>
      </w:pPr>
      <w:r>
        <w:t>Tabla de contenido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i/>
          <w:color w:val="808080"/>
          <w:sz w:val="18"/>
        </w:rPr>
        <w:t>Sugerencia: en Microsoft Word, presione F9 sobre la tabla para actualizar el contenido y los números de página.</w:t>
      </w:r>
    </w:p>
    <w:p>
      <w:r>
        <w:br w:type="page"/>
      </w:r>
    </w:p>
    <w:p>
      <w:pPr>
        <w:pStyle w:val="Heading1"/>
      </w:pPr>
      <w:r>
        <w:t>1. Introducción</w:t>
      </w:r>
    </w:p>
    <w:p>
      <w:r>
        <w:rPr>
          <w:sz w:val="22"/>
        </w:rPr>
        <w:t>Este documento especifica los casos de uso de Custodio RAT Manager en formato formal. Cada CU incluye: identificador (CU-###), nombre, actores, precondiciones, flujo principal, flujos alternativos y resultado esperado.</w:t>
      </w:r>
    </w:p>
    <w:p>
      <w:pPr>
        <w:pStyle w:val="Heading1"/>
      </w:pPr>
      <w:r>
        <w:t>2. Listado consolidado de casos de uso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85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2381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Nombre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Actores</w:t>
            </w:r>
          </w:p>
        </w:tc>
        <w:tc>
          <w:tcPr>
            <w:tcW w:type="dxa" w:w="1701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Trazabilidad RF</w:t>
            </w:r>
          </w:p>
        </w:tc>
        <w:tc>
          <w:tcPr>
            <w:tcW w:type="dxa" w:w="2551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Disparador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CU-001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Iniciar sesión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AC-01/02/03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RF-001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Login con JWT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CU-002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Cerrar sesión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AC-01/02/03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RF-004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Logout con blacklist LRU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CU-003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Recuperar sesión activa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AC-01/02/03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RF-009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GET /auth/me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CU-004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Cambiar contraseña propia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AC-01/02/03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RF-002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PUT /auth/me/password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CU-005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Onboarding primera empresa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RF-015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Wizard inicial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CU-006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Crear empresa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RF-010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POST /companies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CU-007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Editar empresa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AC-01/02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RF-011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PUT /companies/{id}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CU-008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Eliminar empresa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RF-011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DELETE /companies/{id}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CU-009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Asignar usuario a empresa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AC-01/02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RF-012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POST /companies/{cid}/usuarios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CU-010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Crear proceso RAT (wizard)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AC-02/03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RF-020 a RF-029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POST /rats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CU-011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Editar proceso RAT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AC-02/03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RF-029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PUT /rats/{id}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CU-012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Duplicar proceso RAT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AC-02/03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RF-030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Duplicar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CU-013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Eliminar proceso RAT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AC-02/03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RF-031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DELETE /rats/{id}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CU-014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Aprobar proceso RAT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AC-02/01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RF-034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POST /rats/{id}/aprobar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CU-015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Adjuntar documento base legal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AC-02/03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RF-026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Subida a OCI con fallback BYTEA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CU-016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Listar procesos RAT con filtros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AC-01/02/03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RF-074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GET /rats/reportes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CU-017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Exportar RATs a CSV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AC-01/02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RF-070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GET /rats/export/csv (sanitizado)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CU-018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Exportar RATs a PDF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AC-01/02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RF-071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GET /rats/export/pdf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CU-019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Exportar RAT individual a PDF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AC-01/02/03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RF-072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GET /rats/{id}/export/pdf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CU-020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Consultar auditoría de RAT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AC-01/02/03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RF-081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GET /rats/{id}/auditoria (hash chain)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CU-021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Registrar brecha de seguridad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AC-01/02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RF-050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POST /brechas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CU-022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Alertar plazo APDC 72h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Sistema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RF-051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Cálculo automático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CU-023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Presentar formulario ARCO público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AC-05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RF-060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/solicitud_derecho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CU-024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Crear solicitud ARCO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AC-05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RF-062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POST /solicitudes-derecho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CU-025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Responder solicitud ARCO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AC-01/02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RF-064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PATCH /solicitudes-derecho/{id}/responder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CU-026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Gestionar ticket TKT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AC-01/02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RF-063/065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PATCH /tkt-solicitud-derecho/{id}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CU-027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Consultar sugerencias de RAT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AC-01/02/03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RF-041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POST /rats/sugerencias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CU-028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Gestionar rubros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RF-042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CRUD /rubros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CU-029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Consultar chat IA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AC-01/02/03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RF-090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POST /ai/ask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CU-030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Ver dashboard de cumplimiento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AC-01/02/03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RF-075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GET /rats/dashboard/{cid}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CU-031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Crear usuario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RF-007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POST /auth/users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CU-032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Cambiar contraseña de tercero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RF-003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PUT /auth/users/{id}/password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CU-033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Registrar consentimiento expreso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AC-02/03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RF-095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POST /consentimientos/ (CB-01 fix)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CU-034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Crear ticket ARCO manualmente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AC-02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RF-099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POST /tkt-solicitud-derecho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CU-035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Gestionar estado del ticket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AC-02/03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RF-100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PATCH /tkt-solicitud-derecho/{id}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CU-036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Definir prioridad del ticket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AC-02/03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RF-101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Prioridad: BAJA/NORMAL/URGENTE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CU-037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Agregar notas internas al ticket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AC-02/03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RF-103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POST /tkt-solicitud-derecho/{id}/notas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CU-038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Ver historial de cambios del ticket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AC-02/03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RF-104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GET /tkt-solicitud-derecho/{id}/historial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CU-039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Gestionar feriados nacionales (CRUD)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RF-110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CRUD /admin/feriados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CU-040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Subir feriados en bulk por CSV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RF-111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POST /admin/feriados/upload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CU-041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Exportar feriados a CSV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RF-112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GET /admin/feriados/export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CU-042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Verificar integridad de cadena de auditoría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RF-081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GET /rats/auditoria/verify-chain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CU-043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  <w:u w:val="single"/>
              </w:rPr>
              <w:t>Crear RAT en empresa asignada (DT-014)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AC-02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RF-114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POST /rats/ (RBAC admin_empresa)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CU-044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  <w:u w:val="single"/>
              </w:rPr>
              <w:t>usuario NO crea brecha (DT-015)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RF-115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POST /brechas/ (403 si rol=usuario)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CU-045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  <w:u w:val="single"/>
              </w:rPr>
              <w:t>Health check del sistema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Sistema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RF-116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GET /health y /health/db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CU-046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  <w:u w:val="single"/>
              </w:rPr>
              <w:t>Gestionar consentimientos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AC-02/03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RF-095 a RF-098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GET/POST /consentimientos/ (CB-01)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CU-047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  <w:u w:val="single"/>
              </w:rPr>
              <w:t>Gestionar EIPD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AC-02/03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RF-117 a RF-119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GET/POST/PUT /eipd/ (CB-02)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CU-048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  <w:u w:val="single"/>
              </w:rPr>
              <w:t>Descargar documento con fallback OCI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AC-01/02/03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RF-117/RF-119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GET /rats/{id}/archivo (PAR→signed GET→BYTEA)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CU-049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  <w:u w:val="single"/>
              </w:rPr>
              <w:t>Indexar corpus del asesor IA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RF-118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POST /admin/asesor/index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CU-050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  <w:u w:val="single"/>
              </w:rPr>
              <w:t>Gestionar chunks del asesor IA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RF-118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GET /admin/asesor/stats, DELETE /admin/asesor/documents/{id}</w:t>
            </w:r>
          </w:p>
        </w:tc>
      </w:tr>
    </w:tbl>
    <w:p>
      <w:pPr>
        <w:pStyle w:val="Heading1"/>
      </w:pPr>
      <w:r>
        <w:t>3. Especificación detallada de casos críticos</w:t>
      </w:r>
    </w:p>
    <w:p>
      <w:pPr>
        <w:pStyle w:val="Heading2"/>
      </w:pPr>
      <w:r>
        <w:t>CU-001 — Iniciar sesión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CU-001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Nombre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Iniciar sesión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Actores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AC-01/02/03 — Superadmin, Admin empresa, Usuario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Precondiciones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El usuario accede a /login sin una sesión activa.</w:t>
            </w:r>
          </w:p>
        </w:tc>
      </w:tr>
    </w:tbl>
    <w:p>
      <w:pPr>
        <w:pStyle w:val="Heading3"/>
      </w:pPr>
      <w:r>
        <w:t>Flujo principal</w:t>
      </w:r>
    </w:p>
    <w:p>
      <w:pPr>
        <w:pStyle w:val="ListNumber"/>
        <w:spacing w:after="40"/>
      </w:pPr>
      <w:r>
        <w:rPr>
          <w:sz w:val="22"/>
        </w:rPr>
        <w:t>El usuario ingresa username y contraseña.</w:t>
      </w:r>
    </w:p>
    <w:p>
      <w:pPr>
        <w:pStyle w:val="ListNumber"/>
        <w:spacing w:after="40"/>
      </w:pPr>
      <w:r>
        <w:rPr>
          <w:sz w:val="22"/>
        </w:rPr>
        <w:t>El sistema valida credenciales con bcrypt.</w:t>
      </w:r>
    </w:p>
    <w:p>
      <w:pPr>
        <w:pStyle w:val="ListNumber"/>
        <w:spacing w:after="40"/>
      </w:pPr>
      <w:r>
        <w:rPr>
          <w:sz w:val="22"/>
        </w:rPr>
        <w:t>_El sistema consulta el token blacklist para verificar que el token no haya sido revocado._</w:t>
      </w:r>
    </w:p>
    <w:p>
      <w:pPr>
        <w:pStyle w:val="ListNumber"/>
        <w:spacing w:after="40"/>
      </w:pPr>
      <w:r>
        <w:rPr>
          <w:sz w:val="22"/>
        </w:rPr>
        <w:t>El sistema genera JWT con expiry 8h y retorna cookie httpOnly.</w:t>
      </w:r>
    </w:p>
    <w:p>
      <w:pPr>
        <w:pStyle w:val="ListNumber"/>
        <w:spacing w:after="40"/>
      </w:pPr>
      <w:r>
        <w:rPr>
          <w:sz w:val="22"/>
        </w:rPr>
        <w:t>El sistema redirige a /dashboard.</w:t>
      </w:r>
    </w:p>
    <w:p>
      <w:pPr>
        <w:pStyle w:val="Heading3"/>
      </w:pPr>
      <w:r>
        <w:t>Flujos alternativos</w:t>
      </w:r>
    </w:p>
    <w:p>
      <w:r>
        <w:rPr>
          <w:b/>
          <w:sz w:val="22"/>
        </w:rPr>
        <w:t>A) Credenciales inválidas:</w:t>
      </w:r>
    </w:p>
    <w:p>
      <w:pPr>
        <w:pStyle w:val="ListNumber"/>
        <w:spacing w:after="40"/>
      </w:pPr>
      <w:r>
        <w:rPr>
          <w:sz w:val="22"/>
        </w:rPr>
        <w:t>Mensaje 'Credenciales inválidas' sin revelar si el usuario existe.</w:t>
      </w:r>
    </w:p>
    <w:p>
      <w:r>
        <w:rPr>
          <w:b/>
          <w:sz w:val="22"/>
        </w:rPr>
        <w:t>B) Rate limit excedido (5/min):</w:t>
      </w:r>
    </w:p>
    <w:p>
      <w:pPr>
        <w:pStyle w:val="ListNumber"/>
        <w:spacing w:after="40"/>
      </w:pPr>
      <w:r>
        <w:rPr>
          <w:sz w:val="22"/>
        </w:rPr>
        <w:t>HTTP 429 + mensaje de esperar.</w:t>
      </w:r>
    </w:p>
    <w:p>
      <w:pPr>
        <w:pStyle w:val="Heading3"/>
      </w:pPr>
      <w:r>
        <w:t>Resultado esperado</w:t>
      </w:r>
    </w:p>
    <w:p>
      <w:r>
        <w:rPr>
          <w:sz w:val="22"/>
        </w:rPr>
        <w:t>Usuario autenticado con JWT válido por 8h. Token sujeto a blacklist.</w:t>
      </w:r>
    </w:p>
    <w:p>
      <w:pPr>
        <w:pStyle w:val="Heading2"/>
      </w:pPr>
      <w:r>
        <w:t>CU-048 — _Descargar documento con fallback OCI_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CU-048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Nombre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_Descargar documento con fallback OCI_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Actores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AC-01/02/03 — Superadmin, Admin empresa, Usuario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Precondiciones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Usuario autenticado con acceso al RAT.</w:t>
            </w:r>
          </w:p>
        </w:tc>
      </w:tr>
    </w:tbl>
    <w:p>
      <w:pPr>
        <w:pStyle w:val="Heading3"/>
      </w:pPr>
      <w:r>
        <w:t>Flujo principal</w:t>
      </w:r>
    </w:p>
    <w:p>
      <w:pPr>
        <w:pStyle w:val="ListNumber"/>
        <w:spacing w:after="40"/>
      </w:pPr>
      <w:r>
        <w:rPr>
          <w:sz w:val="22"/>
        </w:rPr>
        <w:t>_El usuario pulsa 'Descargar' en el documento de base legal de un RAT._</w:t>
      </w:r>
    </w:p>
    <w:p>
      <w:pPr>
        <w:pStyle w:val="ListNumber"/>
        <w:spacing w:after="40"/>
      </w:pPr>
      <w:r>
        <w:rPr>
          <w:sz w:val="22"/>
        </w:rPr>
        <w:t>_GET /rats/{rat_id}/archivo se ejecuta._</w:t>
      </w:r>
    </w:p>
    <w:p>
      <w:pPr>
        <w:pStyle w:val="ListNumber"/>
        <w:spacing w:after="40"/>
      </w:pPr>
      <w:r>
        <w:rPr>
          <w:sz w:val="22"/>
        </w:rPr>
        <w:t>_Intento 1: El sistema intenta generar PAR (pre-signed URL) desde OCI._</w:t>
      </w:r>
    </w:p>
    <w:p>
      <w:pPr>
        <w:pStyle w:val="ListNumber"/>
        <w:spacing w:after="40"/>
      </w:pPr>
      <w:r>
        <w:rPr>
          <w:sz w:val="22"/>
        </w:rPr>
        <w:t>_Si PAR exitoso: retorna {url, nombre, content_type, expires_in_seconds}._</w:t>
      </w:r>
    </w:p>
    <w:p>
      <w:pPr>
        <w:pStyle w:val="ListNumber"/>
        <w:spacing w:after="40"/>
      </w:pPr>
      <w:r>
        <w:rPr>
          <w:sz w:val="22"/>
        </w:rPr>
        <w:t>_Si PAR falla (sin permisos IAM): continuar al intento 2._</w:t>
      </w:r>
    </w:p>
    <w:p>
      <w:pPr>
        <w:pStyle w:val="ListNumber"/>
        <w:spacing w:after="40"/>
      </w:pPr>
      <w:r>
        <w:rPr>
          <w:sz w:val="22"/>
        </w:rPr>
        <w:t>_Intento 2: El sistema descarga directamente desde OCI usando signed GET._</w:t>
      </w:r>
    </w:p>
    <w:p>
      <w:pPr>
        <w:pStyle w:val="ListNumber"/>
        <w:spacing w:after="40"/>
      </w:pPr>
      <w:r>
        <w:rPr>
          <w:sz w:val="22"/>
        </w:rPr>
        <w:t>_Si download exitoso: retorna bytes codificados en base64._</w:t>
      </w:r>
    </w:p>
    <w:p>
      <w:pPr>
        <w:pStyle w:val="ListNumber"/>
        <w:spacing w:after="40"/>
      </w:pPr>
      <w:r>
        <w:rPr>
          <w:sz w:val="22"/>
        </w:rPr>
        <w:t>_Si OCI falla: usar fallback BYTEA (datos almacenados en PostgreSQL)._</w:t>
      </w:r>
    </w:p>
    <w:p>
      <w:pPr>
        <w:pStyle w:val="ListNumber"/>
        <w:spacing w:after="40"/>
      </w:pPr>
      <w:r>
        <w:rPr>
          <w:sz w:val="22"/>
        </w:rPr>
        <w:t>_La descarga se registra en audit_log._</w:t>
      </w:r>
    </w:p>
    <w:p>
      <w:pPr>
        <w:pStyle w:val="Heading3"/>
      </w:pPr>
      <w:r>
        <w:t>Flujos alternativos</w:t>
      </w:r>
    </w:p>
    <w:p>
      <w:r>
        <w:rPr>
          <w:b/>
          <w:sz w:val="22"/>
        </w:rPr>
        <w:t>A) Archivo no encontrado:</w:t>
      </w:r>
    </w:p>
    <w:p>
      <w:pPr>
        <w:pStyle w:val="ListNumber"/>
        <w:spacing w:after="40"/>
      </w:pPr>
      <w:r>
        <w:rPr>
          <w:sz w:val="22"/>
        </w:rPr>
        <w:t>HTTP 404 Not Found.</w:t>
      </w:r>
    </w:p>
    <w:p>
      <w:r>
        <w:rPr>
          <w:b/>
          <w:sz w:val="22"/>
        </w:rPr>
        <w:t>B) Sin acceso a la empresa:</w:t>
      </w:r>
    </w:p>
    <w:p>
      <w:pPr>
        <w:pStyle w:val="ListNumber"/>
        <w:spacing w:after="40"/>
      </w:pPr>
      <w:r>
        <w:rPr>
          <w:sz w:val="22"/>
        </w:rPr>
        <w:t>HTTP 403 Forbidden.</w:t>
      </w:r>
    </w:p>
    <w:p>
      <w:pPr>
        <w:pStyle w:val="Heading3"/>
      </w:pPr>
      <w:r>
        <w:t>Resultado esperado</w:t>
      </w:r>
    </w:p>
    <w:p>
      <w:r>
        <w:rPr>
          <w:sz w:val="22"/>
        </w:rPr>
        <w:t>_200 OK con URL pre-firmada (PAR) o bytes (signed GET o BYTEA). Auditoría registrada._</w:t>
      </w:r>
    </w:p>
    <w:p>
      <w:pPr>
        <w:pStyle w:val="Heading2"/>
      </w:pPr>
      <w:r>
        <w:t>CU-049 — _Indexar corpus del asesor IA_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CU-049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Nombre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_Indexar corpus del asesor IA_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Actores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AC-01 — Superadmin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Precondiciones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Superadmin autenticado.</w:t>
            </w:r>
          </w:p>
        </w:tc>
      </w:tr>
    </w:tbl>
    <w:p>
      <w:pPr>
        <w:pStyle w:val="Heading3"/>
      </w:pPr>
      <w:r>
        <w:t>Flujo principal</w:t>
      </w:r>
    </w:p>
    <w:p>
      <w:pPr>
        <w:pStyle w:val="ListNumber"/>
        <w:spacing w:after="40"/>
      </w:pPr>
      <w:r>
        <w:rPr>
          <w:sz w:val="22"/>
        </w:rPr>
        <w:t>_El superadmin accede a la sección de administración del asesor IA._</w:t>
      </w:r>
    </w:p>
    <w:p>
      <w:pPr>
        <w:pStyle w:val="ListNumber"/>
        <w:spacing w:after="40"/>
      </w:pPr>
      <w:r>
        <w:rPr>
          <w:sz w:val="22"/>
        </w:rPr>
        <w:t>_Selecciona archivos o directorios para indexar._</w:t>
      </w:r>
    </w:p>
    <w:p>
      <w:pPr>
        <w:pStyle w:val="ListNumber"/>
        <w:spacing w:after="40"/>
      </w:pPr>
      <w:r>
        <w:rPr>
          <w:sz w:val="22"/>
        </w:rPr>
        <w:t>_POST /admin/asesor/index se ejecuta con paths y opción force._</w:t>
      </w:r>
    </w:p>
    <w:p>
      <w:pPr>
        <w:pStyle w:val="ListNumber"/>
        <w:spacing w:after="40"/>
      </w:pPr>
      <w:r>
        <w:rPr>
          <w:sz w:val="22"/>
        </w:rPr>
        <w:t>_El sistema chunkifica el contenido (texto extraído, limpiado, dividido)._</w:t>
      </w:r>
    </w:p>
    <w:p>
      <w:pPr>
        <w:pStyle w:val="ListNumber"/>
        <w:spacing w:after="40"/>
      </w:pPr>
      <w:r>
        <w:rPr>
          <w:sz w:val="22"/>
        </w:rPr>
        <w:t>_El sistema almacena cada chunk en asesor_chunks._</w:t>
      </w:r>
    </w:p>
    <w:p>
      <w:pPr>
        <w:pStyle w:val="ListNumber"/>
        <w:spacing w:after="40"/>
      </w:pPr>
      <w:r>
        <w:rPr>
          <w:sz w:val="22"/>
        </w:rPr>
        <w:t>_Retorna estadísticas: indexed, skipped, errors, duration_ms._</w:t>
      </w:r>
    </w:p>
    <w:p>
      <w:pPr>
        <w:pStyle w:val="Heading3"/>
      </w:pPr>
      <w:r>
        <w:t>Flujos alternativos</w:t>
      </w:r>
    </w:p>
    <w:p>
      <w:r>
        <w:rPr>
          <w:b/>
          <w:sz w:val="22"/>
        </w:rPr>
        <w:t>A) Indexación parcial:</w:t>
      </w:r>
    </w:p>
    <w:p>
      <w:pPr>
        <w:pStyle w:val="ListNumber"/>
        <w:spacing w:after="40"/>
      </w:pPr>
      <w:r>
        <w:rPr>
          <w:sz w:val="22"/>
        </w:rPr>
        <w:t>Algunos archivos fallan, otros se indexan.</w:t>
      </w:r>
    </w:p>
    <w:p>
      <w:pPr>
        <w:pStyle w:val="Heading3"/>
      </w:pPr>
      <w:r>
        <w:t>Resultado esperado</w:t>
      </w:r>
    </w:p>
    <w:p>
      <w:r>
        <w:rPr>
          <w:sz w:val="22"/>
        </w:rPr>
        <w:t>_200 OK con estadísticas de indexación. Auditoría registrada._</w:t>
      </w:r>
    </w:p>
    <w:p>
      <w:pPr>
        <w:pStyle w:val="Heading2"/>
      </w:pPr>
      <w:r>
        <w:t>CU-050 — _Gestionar chunks del asesor IA_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CU-050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Nombre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_Gestionar chunks del asesor IA_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Actores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AC-01 — Superadmin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Precondiciones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Superadmin autenticado.</w:t>
            </w:r>
          </w:p>
        </w:tc>
      </w:tr>
    </w:tbl>
    <w:p>
      <w:pPr>
        <w:pStyle w:val="Heading3"/>
      </w:pPr>
      <w:r>
        <w:t>Flujo principal</w:t>
      </w:r>
    </w:p>
    <w:p>
      <w:pPr>
        <w:pStyle w:val="ListNumber"/>
        <w:spacing w:after="40"/>
      </w:pPr>
      <w:r>
        <w:rPr>
          <w:sz w:val="22"/>
        </w:rPr>
        <w:t>_GET /admin/asesor/stats: retorna estadísticas del corpus._</w:t>
      </w:r>
    </w:p>
    <w:p>
      <w:pPr>
        <w:pStyle w:val="ListNumber"/>
        <w:spacing w:after="40"/>
      </w:pPr>
      <w:r>
        <w:rPr>
          <w:sz w:val="22"/>
        </w:rPr>
        <w:t>_DELETE /admin/asesor/documents/{chunk_id}: elimina un chunk específico._</w:t>
      </w:r>
    </w:p>
    <w:p>
      <w:pPr>
        <w:pStyle w:val="ListNumber"/>
        <w:spacing w:after="40"/>
      </w:pPr>
      <w:r>
        <w:rPr>
          <w:sz w:val="22"/>
        </w:rPr>
        <w:t>_Ambas operaciones se registran en audit_log._</w:t>
      </w:r>
    </w:p>
    <w:p>
      <w:pPr>
        <w:pStyle w:val="Heading3"/>
      </w:pPr>
      <w:r>
        <w:t>Flujos alternativos</w:t>
      </w:r>
    </w:p>
    <w:p>
      <w:r>
        <w:rPr>
          <w:b/>
          <w:sz w:val="22"/>
        </w:rPr>
        <w:t>A) Chunk no encontrado:</w:t>
      </w:r>
    </w:p>
    <w:p>
      <w:pPr>
        <w:pStyle w:val="ListNumber"/>
        <w:spacing w:after="40"/>
      </w:pPr>
      <w:r>
        <w:rPr>
          <w:sz w:val="22"/>
        </w:rPr>
        <w:t>HTTP 404 Not Found.</w:t>
      </w:r>
    </w:p>
    <w:p>
      <w:pPr>
        <w:pStyle w:val="Heading3"/>
      </w:pPr>
      <w:r>
        <w:t>Resultado esperado</w:t>
      </w:r>
    </w:p>
    <w:p>
      <w:r>
        <w:rPr>
          <w:sz w:val="22"/>
        </w:rPr>
        <w:t>_Stats con total chunks, fuentes, tamaño. Delete retorna {ok: true}._</w:t>
      </w:r>
    </w:p>
    <w:p>
      <w:pPr>
        <w:pStyle w:val="Heading1"/>
      </w:pPr>
      <w:r>
        <w:t>Apéndice A — Vacíos de información</w:t>
      </w:r>
    </w:p>
    <w:p>
      <w:r>
        <w:rPr>
          <w:i/>
          <w:sz w:val="22"/>
        </w:rPr>
        <w:t>Las siguientes preguntas quedan abiertas al equipo de producto o al Product Owner para ser resueltas en próximas iteraciones:</w:t>
      </w:r>
    </w:p>
    <w:p>
      <w:pPr>
        <w:pStyle w:val="ListBullet"/>
        <w:spacing w:after="40"/>
        <w:ind w:left="340"/>
      </w:pPr>
      <w:r>
        <w:rPr>
          <w:sz w:val="22"/>
        </w:rPr>
        <w:t>¿Los CU deben incluir criterios de aceptación en Gherkin (V2)?</w:t>
      </w:r>
    </w:p>
    <w:p>
      <w:pPr>
        <w:pStyle w:val="ListBullet"/>
        <w:spacing w:after="40"/>
        <w:ind w:left="340"/>
      </w:pPr>
      <w:r>
        <w:rPr>
          <w:sz w:val="22"/>
        </w:rPr>
        <w:t>¿Se deben modelar flujos de error sistemáticamente para todos los CU?</w:t>
      </w:r>
    </w:p>
    <w:p>
      <w:pPr>
        <w:pStyle w:val="Heading1"/>
      </w:pPr>
      <w:r>
        <w:t>Apéndice B — Riesgos identificados</w:t>
      </w:r>
    </w:p>
    <w:p>
      <w:r>
        <w:rPr>
          <w:i/>
          <w:sz w:val="22"/>
        </w:rPr>
        <w:t>Riesgos detectados durante la auditoría documental y técnica:</w:t>
      </w:r>
    </w:p>
    <w:p>
      <w:pPr>
        <w:spacing w:before="80" w:after="40"/>
      </w:pPr>
      <w:r>
        <w:rPr>
          <w:b/>
          <w:i/>
          <w:color w:val="1F497D"/>
          <w:sz w:val="18"/>
        </w:rPr>
        <w:t xml:space="preserve">Tabla 1 — </w:t>
      </w:r>
      <w:r>
        <w:rPr>
          <w:i/>
          <w:color w:val="404040"/>
          <w:sz w:val="18"/>
        </w:rPr>
        <w:t>Riesgos identificados durante la auditoría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737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Severidad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R-CU-01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CU-029 (IA) depende de servicio externo. Mitigación: mensaje informativo si no disponible.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Medio</w:t>
            </w:r>
          </w:p>
        </w:tc>
      </w:tr>
    </w:tbl>
    <w:p>
      <w:pPr>
        <w:pStyle w:val="Heading1"/>
      </w:pPr>
      <w:r>
        <w:t>Apéndice C — Índice de identificadores</w:t>
      </w:r>
    </w:p>
    <w:p>
      <w:r>
        <w:rPr>
          <w:i/>
          <w:sz w:val="22"/>
        </w:rPr>
        <w:t>Identificadores únicos referenciados a lo largo del documento: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2835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Nombre</w:t>
            </w:r>
          </w:p>
        </w:tc>
        <w:tc>
          <w:tcPr>
            <w:tcW w:type="dxa" w:w="5669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CU-###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Caso de Uso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Interacción actor-sistema con flujos principal y alternativo.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AC-###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Actor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Persona, sistema o servicio externo.</w:t>
            </w:r>
          </w:p>
        </w:tc>
      </w:tr>
    </w:tbl>
    <w:p/>
    <w:p>
      <w:pPr>
        <w:jc w:val="center"/>
      </w:pPr>
      <w:r>
        <w:rPr>
          <w:i/>
          <w:color w:val="808080"/>
          <w:sz w:val="20"/>
        </w:rPr>
        <w:t>—  Fin del documento  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417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402"/>
      <w:gridCol w:w="3169"/>
      <w:gridCol w:w="3402"/>
    </w:tblGrid>
    <w:tr>
      <w:tc>
        <w:tcPr>
          <w:tcW w:type="dxa" w:w="3402"/>
        </w:tcPr>
        <w:p>
          <w:pPr>
            <w:jc w:val="left"/>
          </w:pPr>
          <w:r>
            <w:rPr>
              <w:color w:val="808080"/>
              <w:sz w:val="16"/>
            </w:rPr>
            <w:t>Custodio RAT Manager · Ley 21.719</w:t>
          </w:r>
        </w:p>
      </w:tc>
      <w:tc>
        <w:tcPr>
          <w:tcW w:type="dxa" w:w="3169"/>
        </w:tcPr>
        <w:p>
          <w:pPr>
            <w:jc w:val="center"/>
          </w:pPr>
          <w:r>
            <w:rPr>
              <w:color w:val="808080"/>
              <w:sz w:val="16"/>
            </w:rPr>
            <w:t xml:space="preserve">Página </w:t>
          </w:r>
          <w:r>
            <w:rPr>
              <w:color w:val="808080"/>
              <w:sz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color w:val="808080"/>
              <w:sz w:val="16"/>
            </w:rPr>
            <w:t xml:space="preserve"> de </w:t>
          </w:r>
          <w:r>
            <w:rPr>
              <w:color w:val="808080"/>
              <w:sz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  <w:tc>
        <w:tcPr>
          <w:tcW w:type="dxa" w:w="3402"/>
        </w:tcPr>
        <w:p>
          <w:pPr>
            <w:jc w:val="right"/>
          </w:pPr>
          <w:r>
            <w:rPr>
              <w:color w:val="808080"/>
              <w:sz w:val="16"/>
            </w:rPr>
            <w:t>Interno — Confidencial  ·  Casos de Uso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669"/>
      <w:gridCol w:w="4303"/>
    </w:tblGrid>
    <w:tr>
      <w:tc>
        <w:tcPr>
          <w:tcW w:type="dxa" w:w="5669"/>
        </w:tcPr>
        <w:p>
          <w:pPr>
            <w:jc w:val="left"/>
            <w:pBdr>
              <w:bottom w:val="single" w:sz="6" w:space="1" w:color="1F497D"/>
            </w:pBdr>
          </w:pPr>
          <w:r>
            <w:rPr>
              <w:b/>
              <w:color w:val="1F497D"/>
              <w:sz w:val="18"/>
            </w:rPr>
            <w:t xml:space="preserve">▣  CUSTODIO  </w:t>
          </w:r>
          <w:r>
            <w:rPr>
              <w:color w:val="404040"/>
              <w:sz w:val="18"/>
            </w:rPr>
            <w:t>·  Casos de Uso</w:t>
          </w:r>
        </w:p>
      </w:tc>
      <w:tc>
        <w:tcPr>
          <w:tcW w:type="dxa" w:w="4303"/>
        </w:tcPr>
        <w:p>
          <w:pPr>
            <w:jc w:val="right"/>
          </w:pPr>
          <w:r>
            <w:rPr>
              <w:color w:val="808080"/>
              <w:sz w:val="18"/>
            </w:rPr>
            <w:t>v1.6  ·  Junio 2026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4040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0404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