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(CU-048), Admin Asesor IA (CU-049/CU-050)._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(CU-051), Encryption at Rest (CU-052), Service Layer (CU-053), Schemas Pydantic (CU-054)._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(CU-055), Drawer responsive (CU-056), Dashboard clickable (CU-057), Sort estable (CU-058)._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(CU-059 a CU-063). Sprint 2: SLA Alert + Export ARCO (CU-064 a CU-068).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(CU-069 a CU-071). Iter 12: 9 fixes CRITICOS+ALTOS (CU-072 a CU-077)._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RAT (CU-078). base_legal_valida strict (CU-079). ConsentimientoAlert (CU-080). Homologación orden campos (CU-081). PDF títulos sección (CU-082)._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de casos de uso nuevos (v1.9)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Endpoint/Flujo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CU-069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Registrar 15 campos Tier 1+Tier 2 en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RF-141 a RF-155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limitado a 10MB en archivo_base_legal y tkt_adjunto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CHECK constraint PostgreSQL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Test IL validado con mínimo 50 caracteres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— validación Pydantic + frontend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Hash SHA-256 automático de evidencia ARCO al resolver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causal_rechazo con enum cerrado (7 causales Art. 29 RL)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— dropdown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Toggle ARCO con touch target 44x44px (mobile)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UI: solicitud_derecho/page.tsx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Notificación APDC automatizada al crear brecha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actualizar_brecha() — email_service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Notificación a titulares automatizada al cerrar brecha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actualizar_brecha() — logging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TKT no puede resolverse sin evidencia ni hash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— HTTP 400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IDOR multi-tenant: empresa no puede acceder a RAT de otra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get_rat_for_user() — retorna 404 en 6 endpoints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CU-079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base_legal_valida strict contra enum taxativo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base_legal_valida() — 6 opciones válidas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CU-080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ConsentimientoAlert antes de guardar RAT con datos_sensibles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handleSave() — listarConsentimientos()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Homologación orden campos RAT en wizard, drawer y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RatDetailView + RatEditForm + RatWizard + export_service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CU-082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PDF con títulos de sección y alertas rojas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RF-167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export_service — PASOx — IDENTIFICACIÓN con COLOR_PRIMARIO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Especificación de interacción actor-sistema.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