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4"/>
        </w:rPr>
        <w:t xml:space="preserve">  ▣  CUSTODIO  ·  CUSTODIO RAT MANAGER  </w:t>
      </w:r>
    </w:p>
    <w:p>
      <w:pPr>
        <w:spacing w:before="720" w:after="120"/>
        <w:jc w:val="center"/>
      </w:pPr>
      <w:r>
        <w:rPr>
          <w:i/>
          <w:color w:val="808080"/>
          <w:sz w:val="22"/>
        </w:rPr>
        <w:t>CUST-DOC-06</w:t>
      </w:r>
    </w:p>
    <w:p/>
    <w:p/>
    <w:p>
      <w:pPr>
        <w:spacing w:after="240"/>
        <w:jc w:val="center"/>
      </w:pPr>
      <w:r>
        <w:rPr>
          <w:b/>
          <w:color w:val="1F497D"/>
          <w:sz w:val="56"/>
        </w:rPr>
        <w:t>ARQUITECTURA DE SOFTWARE</w:t>
      </w:r>
    </w:p>
    <w:p>
      <w:pPr>
        <w:spacing w:after="480"/>
        <w:jc w:val="center"/>
      </w:pPr>
      <w:r>
        <w:rPr>
          <w:i/>
          <w:color w:val="2E74B5"/>
          <w:sz w:val="28"/>
        </w:rPr>
        <w:t>Diagramas C4, despliegue, secuencias y decisiones técnicas</w:t>
      </w:r>
    </w:p>
    <w:p/>
    <w:p/>
    <w:p>
      <w:pPr>
        <w:jc w:val="center"/>
        <w:pBdr>
          <w:bottom w:val="single" w:sz="12" w:space="1" w:color="2E74B5"/>
        </w:pBdr>
      </w:pPr>
      <w:r>
        <w:rPr>
          <w:sz w:val="4"/>
        </w:rPr>
        <w:t xml:space="preserve">  </w:t>
      </w:r>
    </w:p>
    <w:p/>
    <w:p/>
    <w:p>
      <w:pPr>
        <w:spacing w:after="40"/>
        <w:jc w:val="center"/>
      </w:pPr>
      <w:r>
        <w:rPr>
          <w:b/>
          <w:color w:val="1F497D"/>
          <w:sz w:val="22"/>
        </w:rPr>
        <w:t xml:space="preserve">Versión:  </w:t>
      </w:r>
      <w:r>
        <w:rPr>
          <w:color w:val="404040"/>
          <w:sz w:val="22"/>
        </w:rPr>
        <w:t>v1.0</w:t>
      </w:r>
    </w:p>
    <w:p>
      <w:pPr>
        <w:spacing w:after="40"/>
        <w:jc w:val="center"/>
      </w:pPr>
      <w:r>
        <w:rPr>
          <w:b/>
          <w:color w:val="1F497D"/>
          <w:sz w:val="22"/>
        </w:rPr>
        <w:t xml:space="preserve">Fecha de emisión:  </w:t>
      </w:r>
      <w:r>
        <w:rPr>
          <w:color w:val="404040"/>
          <w:sz w:val="22"/>
        </w:rPr>
        <w:t>Junio 2026</w:t>
      </w:r>
    </w:p>
    <w:p>
      <w:pPr>
        <w:spacing w:after="40"/>
        <w:jc w:val="center"/>
      </w:pPr>
      <w:r>
        <w:rPr>
          <w:b/>
          <w:color w:val="1F497D"/>
          <w:sz w:val="22"/>
        </w:rPr>
        <w:t xml:space="preserve">Autor:  </w:t>
      </w:r>
      <w:r>
        <w:rPr>
          <w:color w:val="404040"/>
          <w:sz w:val="22"/>
        </w:rPr>
        <w:t>Equipo de Desarrollo — Custodio</w:t>
      </w:r>
    </w:p>
    <w:p>
      <w:pPr>
        <w:spacing w:after="40"/>
        <w:jc w:val="center"/>
      </w:pPr>
      <w:r>
        <w:rPr>
          <w:b/>
          <w:color w:val="1F497D"/>
          <w:sz w:val="22"/>
        </w:rPr>
        <w:t xml:space="preserve">Empresa responsable:  </w:t>
      </w:r>
      <w:r>
        <w:rPr>
          <w:color w:val="404040"/>
          <w:sz w:val="22"/>
        </w:rPr>
        <w:t>Custodio SpA</w:t>
      </w:r>
    </w:p>
    <w:p>
      <w:pPr>
        <w:spacing w:after="40"/>
        <w:jc w:val="center"/>
      </w:pPr>
      <w:r>
        <w:rPr>
          <w:b/>
          <w:color w:val="1F497D"/>
          <w:sz w:val="22"/>
        </w:rPr>
        <w:t xml:space="preserve">Clasificación:  </w:t>
      </w:r>
      <w:r>
        <w:rPr>
          <w:color w:val="404040"/>
          <w:sz w:val="22"/>
        </w:rPr>
        <w:t>Interno — Confidencial</w:t>
      </w:r>
    </w:p>
    <w:p>
      <w:pPr>
        <w:spacing w:after="40"/>
        <w:jc w:val="center"/>
      </w:pPr>
      <w:r>
        <w:rPr>
          <w:b/>
          <w:color w:val="1F497D"/>
          <w:sz w:val="22"/>
        </w:rPr>
        <w:t xml:space="preserve">Producto:  </w:t>
      </w:r>
      <w:r>
        <w:rPr>
          <w:color w:val="404040"/>
          <w:sz w:val="22"/>
        </w:rPr>
        <w:t>Custodio RAT Manager</w:t>
      </w:r>
    </w:p>
    <w:p>
      <w:pPr>
        <w:spacing w:after="40"/>
        <w:jc w:val="center"/>
      </w:pPr>
      <w:r>
        <w:rPr>
          <w:b/>
          <w:color w:val="1F497D"/>
          <w:sz w:val="22"/>
        </w:rPr>
        <w:t xml:space="preserve">Marco regulatorio:  </w:t>
      </w:r>
      <w:r>
        <w:rPr>
          <w:color w:val="404040"/>
          <w:sz w:val="22"/>
        </w:rPr>
        <w:t>Ley N.° 21.719 — Chile</w:t>
      </w:r>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0"/>
        </w:rPr>
        <w:t xml:space="preserve">  CUMPLIMIENTO DE LA LEY 21.719 DE PROTECCIÓN DE DATOS PERSONALES DE CHILE  </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color="auto" w:fill="1F497D"/>
          </w:tcPr>
          <w:p>
            <w:r/>
            <w:r>
              <w:rPr>
                <w:b/>
                <w:color w:val="FFFFFF"/>
              </w:rPr>
              <w:t>Versión</w:t>
            </w:r>
          </w:p>
        </w:tc>
        <w:tc>
          <w:tcPr>
            <w:tcW w:type="dxa" w:w="2494"/>
            <w:shd w:val="clear" w:color="auto" w:fill="1F497D"/>
          </w:tcPr>
          <w:p>
            <w:r/>
            <w:r>
              <w:rPr>
                <w:b/>
                <w:color w:val="FFFFFF"/>
              </w:rPr>
              <w:t>Fecha</w:t>
            </w:r>
          </w:p>
        </w:tc>
        <w:tc>
          <w:tcPr>
            <w:tcW w:type="dxa" w:w="2494"/>
            <w:shd w:val="clear" w:color="auto" w:fill="1F497D"/>
          </w:tcPr>
          <w:p>
            <w:r/>
            <w:r>
              <w:rPr>
                <w:b/>
                <w:color w:val="FFFFFF"/>
              </w:rPr>
              <w:t>Autor</w:t>
            </w:r>
          </w:p>
        </w:tc>
        <w:tc>
          <w:tcPr>
            <w:tcW w:type="dxa" w:w="2489"/>
            <w:shd w:val="clear" w:color="auto" w:fill="1F497D"/>
          </w:tcPr>
          <w:p>
            <w:r/>
            <w:r>
              <w:rPr>
                <w:b/>
                <w:color w:val="FFFFFF"/>
              </w:rPr>
              <w:t>Cambios</w:t>
            </w:r>
          </w:p>
        </w:tc>
      </w:tr>
      <w:tr>
        <w:tc>
          <w:tcPr>
            <w:tcW w:type="dxa" w:w="2493"/>
          </w:tcPr>
          <w:p>
            <w:r>
              <w:rPr>
                <w:sz w:val="20"/>
              </w:rPr>
              <w:t>1.0</w:t>
            </w:r>
          </w:p>
        </w:tc>
        <w:tc>
          <w:tcPr>
            <w:tcW w:type="dxa" w:w="2493"/>
          </w:tcPr>
          <w:p>
            <w:r>
              <w:rPr>
                <w:sz w:val="20"/>
              </w:rPr>
              <w:t>Junio 2026</w:t>
            </w:r>
          </w:p>
        </w:tc>
        <w:tc>
          <w:tcPr>
            <w:tcW w:type="dxa" w:w="2493"/>
          </w:tcPr>
          <w:p>
            <w:r>
              <w:rPr>
                <w:sz w:val="20"/>
              </w:rPr>
              <w:t>Equipo de Desarrollo — Custodio</w:t>
            </w:r>
          </w:p>
        </w:tc>
        <w:tc>
          <w:tcPr>
            <w:tcW w:type="dxa" w:w="2493"/>
          </w:tcPr>
          <w:p>
            <w:r>
              <w:rPr>
                <w:sz w:val="20"/>
              </w:rPr>
              <w:t>Creación inicial de la arquitectura derivada del código fuente.</w:t>
            </w:r>
          </w:p>
        </w:tc>
      </w:tr>
    </w:tbl>
    <w:p/>
    <w:p>
      <w:pPr>
        <w:pStyle w:val="Heading2"/>
      </w:pPr>
      <w:r>
        <w:t>Estado del documento</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497D"/>
          </w:tcPr>
          <w:p>
            <w:r/>
            <w:r>
              <w:rPr>
                <w:b/>
                <w:color w:val="FFFFFF"/>
              </w:rPr>
              <w:t>Campo</w:t>
            </w:r>
          </w:p>
        </w:tc>
        <w:tc>
          <w:tcPr>
            <w:tcW w:type="dxa" w:w="4986"/>
            <w:shd w:val="clear" w:color="auto" w:fill="1F497D"/>
          </w:tcPr>
          <w:p>
            <w:r>
              <w:rPr>
                <w:b/>
                <w:color w:val="FFFFFF"/>
              </w:rPr>
              <w:t>Valor</w:t>
            </w:r>
          </w:p>
        </w:tc>
      </w:tr>
      <w:tr>
        <w:tc>
          <w:tcPr>
            <w:tcW w:type="dxa" w:w="4986"/>
          </w:tcPr>
          <w:p>
            <w:r>
              <w:rPr>
                <w:sz w:val="20"/>
              </w:rPr>
              <w:t>Nombre</w:t>
            </w:r>
          </w:p>
        </w:tc>
        <w:tc>
          <w:tcPr>
            <w:tcW w:type="dxa" w:w="4986"/>
          </w:tcPr>
          <w:p>
            <w:r>
              <w:rPr>
                <w:sz w:val="20"/>
              </w:rPr>
              <w:t>Arquitectura de Software</w:t>
            </w:r>
          </w:p>
        </w:tc>
      </w:tr>
      <w:tr>
        <w:tc>
          <w:tcPr>
            <w:tcW w:type="dxa" w:w="4986"/>
          </w:tcPr>
          <w:p>
            <w:r>
              <w:rPr>
                <w:sz w:val="20"/>
              </w:rPr>
              <w:t>Producto</w:t>
            </w:r>
          </w:p>
        </w:tc>
        <w:tc>
          <w:tcPr>
            <w:tcW w:type="dxa" w:w="4986"/>
          </w:tcPr>
          <w:p>
            <w:r>
              <w:rPr>
                <w:sz w:val="20"/>
              </w:rPr>
              <w:t>Custodio RAT Manager</w:t>
            </w:r>
          </w:p>
        </w:tc>
      </w:tr>
      <w:tr>
        <w:tc>
          <w:tcPr>
            <w:tcW w:type="dxa" w:w="4986"/>
          </w:tcPr>
          <w:p>
            <w:r>
              <w:rPr>
                <w:sz w:val="20"/>
              </w:rPr>
              <w:t>Marco regulatorio</w:t>
            </w:r>
          </w:p>
        </w:tc>
        <w:tc>
          <w:tcPr>
            <w:tcW w:type="dxa" w:w="4986"/>
          </w:tcPr>
          <w:p>
            <w:r>
              <w:rPr>
                <w:sz w:val="20"/>
              </w:rPr>
              <w:t>Ley N.° 21.719 de Protección de Datos Personales (Chile)</w:t>
            </w:r>
          </w:p>
        </w:tc>
      </w:tr>
    </w:tbl>
    <w:p>
      <w:r>
        <w:br w:type="page"/>
      </w:r>
    </w:p>
    <w:p>
      <w:pPr>
        <w:pStyle w:val="Heading1"/>
      </w:pPr>
      <w:r>
        <w:t>Tabla de contenido</w:t>
      </w:r>
    </w:p>
    <w:p>
      <w:r>
        <w:fldChar w:fldCharType="begin"/>
        <w:instrText xml:space="preserve">TOC \o "1-3" \h \z \u</w:instrText>
        <w:fldChar w:fldCharType="separate"/>
        <w:fldChar w:fldCharType="end"/>
      </w:r>
    </w:p>
    <w:p>
      <w:r>
        <w:rPr>
          <w:i/>
          <w:color w:val="808080"/>
          <w:sz w:val="18"/>
        </w:rPr>
        <w:t>Sugerencia: en Microsoft Word, presione F9 sobre la tabla para actualizar el contenido y los números de página.</w:t>
      </w:r>
    </w:p>
    <w:p>
      <w:r>
        <w:br w:type="page"/>
      </w:r>
    </w:p>
    <w:p>
      <w:pPr>
        <w:pStyle w:val="Heading1"/>
      </w:pPr>
      <w:r>
        <w:t>1. Resumen ejecutivo</w:t>
      </w:r>
    </w:p>
    <w:p>
      <w:r>
        <w:rPr>
          <w:sz w:val="22"/>
        </w:rPr>
        <w:t>Custodio RAT Manager es una aplicación web de tipo SaaS B2B diseñada para que organizaciones chilenas gestionen el Registro de Actividades de Tratamiento (RAT) exigido por la Ley 21.719. La arquitectura es modular, multi-tenant y desplegada en su totalidad en la plataforma Vercel, utilizando Neon PostgreSQL como base de datos de producción.</w:t>
      </w:r>
    </w:p>
    <w:p>
      <w:r>
        <w:rPr>
          <w:sz w:val="22"/>
        </w:rPr>
        <w:t>El backend se implementa como funciones serverless Python FastAPI; el frontend como aplicación Next.js 16 con App Router. La separación entre ambos es estricta: el frontend consume el backend exclusivamente vía API REST JSON con autenticación por token JWT.</w:t>
      </w:r>
    </w:p>
    <w:p>
      <w:pPr>
        <w:pStyle w:val="Heading1"/>
      </w:pPr>
      <w:r>
        <w:t>2. Diagrama de contexto (C4 Nivel 1)</w:t>
      </w:r>
    </w:p>
    <w:p>
      <w:r>
        <w:rPr>
          <w:sz w:val="22"/>
        </w:rPr>
        <w:t>El siguiente diagrama muestra el sistema Custodio y sus interacciones con los actores externos y sistemas terceros.</w:t>
      </w:r>
    </w:p>
    <w:p>
      <w:pPr>
        <w:jc w:val="center"/>
      </w:pPr>
      <w:r>
        <w:drawing>
          <wp:inline xmlns:a="http://schemas.openxmlformats.org/drawingml/2006/main" xmlns:pic="http://schemas.openxmlformats.org/drawingml/2006/picture">
            <wp:extent cx="6217920" cy="3219994"/>
            <wp:docPr id="1" name="Picture 1"/>
            <wp:cNvGraphicFramePr>
              <a:graphicFrameLocks noChangeAspect="1"/>
            </wp:cNvGraphicFramePr>
            <a:graphic>
              <a:graphicData uri="http://schemas.openxmlformats.org/drawingml/2006/picture">
                <pic:pic>
                  <pic:nvPicPr>
                    <pic:cNvPr id="0" name="c4_context_-4691937478909821375.png"/>
                    <pic:cNvPicPr/>
                  </pic:nvPicPr>
                  <pic:blipFill>
                    <a:blip r:embed="rId11"/>
                    <a:stretch>
                      <a:fillRect/>
                    </a:stretch>
                  </pic:blipFill>
                  <pic:spPr>
                    <a:xfrm>
                      <a:off x="0" y="0"/>
                      <a:ext cx="6217920" cy="3219994"/>
                    </a:xfrm>
                    <a:prstGeom prst="rect"/>
                  </pic:spPr>
                </pic:pic>
              </a:graphicData>
            </a:graphic>
          </wp:inline>
        </w:drawing>
      </w:r>
    </w:p>
    <w:p>
      <w:pPr>
        <w:spacing w:before="40" w:after="200"/>
        <w:jc w:val="center"/>
      </w:pPr>
      <w:r>
        <w:rPr>
          <w:b/>
          <w:i/>
          <w:color w:val="1F497D"/>
          <w:sz w:val="18"/>
        </w:rPr>
        <w:t xml:space="preserve">Figura 1 — </w:t>
      </w:r>
      <w:r>
        <w:rPr>
          <w:i/>
          <w:color w:val="404040"/>
          <w:sz w:val="18"/>
        </w:rPr>
        <w:t>Diagrama de contexto C4 Nivel 1: Custodio y sus interacciones externas.</w:t>
      </w:r>
    </w:p>
    <w:p>
      <w:pPr>
        <w:pStyle w:val="Heading1"/>
      </w:pPr>
      <w:r>
        <w:t>3. Diagrama de contenedores (C4 Nivel 2)</w:t>
      </w:r>
    </w:p>
    <w:p>
      <w:r>
        <w:rPr>
          <w:sz w:val="22"/>
        </w:rPr>
        <w:t>El siguiente diagrama muestra los contenedores que componen Custodio: el frontend Next.js, el backend FastAPI serverless y la base de datos PostgreSQL.</w:t>
      </w:r>
    </w:p>
    <w:p>
      <w:pPr>
        <w:jc w:val="center"/>
      </w:pPr>
      <w:r>
        <w:drawing>
          <wp:inline xmlns:a="http://schemas.openxmlformats.org/drawingml/2006/main" xmlns:pic="http://schemas.openxmlformats.org/drawingml/2006/picture">
            <wp:extent cx="6217920" cy="1838291"/>
            <wp:docPr id="2" name="Picture 2"/>
            <wp:cNvGraphicFramePr>
              <a:graphicFrameLocks noChangeAspect="1"/>
            </wp:cNvGraphicFramePr>
            <a:graphic>
              <a:graphicData uri="http://schemas.openxmlformats.org/drawingml/2006/picture">
                <pic:pic>
                  <pic:nvPicPr>
                    <pic:cNvPr id="0" name="c4_container_-6427943912652561801.png"/>
                    <pic:cNvPicPr/>
                  </pic:nvPicPr>
                  <pic:blipFill>
                    <a:blip r:embed="rId12"/>
                    <a:stretch>
                      <a:fillRect/>
                    </a:stretch>
                  </pic:blipFill>
                  <pic:spPr>
                    <a:xfrm>
                      <a:off x="0" y="0"/>
                      <a:ext cx="6217920" cy="1838291"/>
                    </a:xfrm>
                    <a:prstGeom prst="rect"/>
                  </pic:spPr>
                </pic:pic>
              </a:graphicData>
            </a:graphic>
          </wp:inline>
        </w:drawing>
      </w:r>
    </w:p>
    <w:p>
      <w:pPr>
        <w:spacing w:before="40" w:after="200"/>
        <w:jc w:val="center"/>
      </w:pPr>
      <w:r>
        <w:rPr>
          <w:b/>
          <w:i/>
          <w:color w:val="1F497D"/>
          <w:sz w:val="18"/>
        </w:rPr>
        <w:t xml:space="preserve">Figura 2 — </w:t>
      </w:r>
      <w:r>
        <w:rPr>
          <w:i/>
          <w:color w:val="404040"/>
          <w:sz w:val="18"/>
        </w:rPr>
        <w:t>Diagrama de contenedores C4 Nivel 2: tres contenedores principales.</w:t>
      </w:r>
    </w:p>
    <w:p>
      <w:pPr>
        <w:pStyle w:val="Heading1"/>
      </w:pPr>
      <w:r>
        <w:t>4. Componentes del backend</w:t>
      </w:r>
    </w:p>
    <w:p>
      <w:r>
        <w:rPr>
          <w:sz w:val="22"/>
        </w:rPr>
        <w:t>El backend se organiza en cinco capas claramente separadas, siguiendo el patrón hexagonal simplificado:</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2F3"/>
            <w:vAlign w:val="center"/>
          </w:tcPr>
          <w:p>
            <w:r/>
            <w:r>
              <w:rPr>
                <w:b/>
                <w:color w:val="1F497D"/>
                <w:sz w:val="20"/>
              </w:rPr>
              <w:t>Capa</w:t>
            </w:r>
          </w:p>
        </w:tc>
        <w:tc>
          <w:tcPr>
            <w:tcW w:type="dxa" w:w="2268"/>
            <w:shd w:val="clear" w:color="auto" w:fill="D9E2F3"/>
            <w:vAlign w:val="center"/>
          </w:tcPr>
          <w:p>
            <w:r/>
            <w:r>
              <w:rPr>
                <w:b/>
                <w:color w:val="1F497D"/>
                <w:sz w:val="20"/>
              </w:rPr>
              <w:t>Paquete</w:t>
            </w:r>
          </w:p>
        </w:tc>
        <w:tc>
          <w:tcPr>
            <w:tcW w:type="dxa" w:w="6236"/>
            <w:shd w:val="clear" w:color="auto" w:fill="D9E2F3"/>
            <w:vAlign w:val="center"/>
          </w:tcPr>
          <w:p>
            <w:r/>
            <w:r>
              <w:rPr>
                <w:b/>
                <w:color w:val="1F497D"/>
                <w:sz w:val="20"/>
              </w:rPr>
              <w:t>Responsabilidad</w:t>
            </w:r>
          </w:p>
        </w:tc>
      </w:tr>
      <w:tr>
        <w:tc>
          <w:tcPr>
            <w:tcW w:type="dxa" w:w="1417"/>
            <w:vAlign w:val="top"/>
          </w:tcPr>
          <w:p>
            <w:r/>
            <w:r>
              <w:rPr>
                <w:b/>
                <w:sz w:val="20"/>
              </w:rPr>
              <w:t>Modelos</w:t>
            </w:r>
          </w:p>
        </w:tc>
        <w:tc>
          <w:tcPr>
            <w:tcW w:type="dxa" w:w="2268"/>
            <w:vAlign w:val="top"/>
          </w:tcPr>
          <w:p>
            <w:r/>
            <w:r>
              <w:rPr>
                <w:sz w:val="20"/>
              </w:rPr>
              <w:t>app/models</w:t>
            </w:r>
          </w:p>
        </w:tc>
        <w:tc>
          <w:tcPr>
            <w:tcW w:type="dxa" w:w="6236"/>
            <w:vAlign w:val="top"/>
          </w:tcPr>
          <w:p>
            <w:r/>
            <w:r>
              <w:rPr>
                <w:sz w:val="20"/>
              </w:rPr>
              <w:t>Mapeo ORM SQLAlchemy de las entidades.</w:t>
            </w:r>
          </w:p>
        </w:tc>
      </w:tr>
      <w:tr>
        <w:tc>
          <w:tcPr>
            <w:tcW w:type="dxa" w:w="1417"/>
            <w:vAlign w:val="top"/>
          </w:tcPr>
          <w:p>
            <w:r/>
            <w:r>
              <w:rPr>
                <w:b/>
                <w:sz w:val="20"/>
              </w:rPr>
              <w:t>Schemas</w:t>
            </w:r>
          </w:p>
        </w:tc>
        <w:tc>
          <w:tcPr>
            <w:tcW w:type="dxa" w:w="2268"/>
            <w:vAlign w:val="top"/>
          </w:tcPr>
          <w:p>
            <w:r/>
            <w:r>
              <w:rPr>
                <w:sz w:val="20"/>
              </w:rPr>
              <w:t>app/schemas</w:t>
            </w:r>
          </w:p>
        </w:tc>
        <w:tc>
          <w:tcPr>
            <w:tcW w:type="dxa" w:w="6236"/>
            <w:vAlign w:val="top"/>
          </w:tcPr>
          <w:p>
            <w:r/>
            <w:r>
              <w:rPr>
                <w:sz w:val="20"/>
              </w:rPr>
              <w:t>Validación y serialización con Pydantic.</w:t>
            </w:r>
          </w:p>
        </w:tc>
      </w:tr>
      <w:tr>
        <w:tc>
          <w:tcPr>
            <w:tcW w:type="dxa" w:w="1417"/>
            <w:vAlign w:val="top"/>
          </w:tcPr>
          <w:p>
            <w:r/>
            <w:r>
              <w:rPr>
                <w:b/>
                <w:sz w:val="20"/>
              </w:rPr>
              <w:t>Servicios</w:t>
            </w:r>
          </w:p>
        </w:tc>
        <w:tc>
          <w:tcPr>
            <w:tcW w:type="dxa" w:w="2268"/>
            <w:vAlign w:val="top"/>
          </w:tcPr>
          <w:p>
            <w:r/>
            <w:r>
              <w:rPr>
                <w:sz w:val="20"/>
              </w:rPr>
              <w:t>app/services</w:t>
            </w:r>
          </w:p>
        </w:tc>
        <w:tc>
          <w:tcPr>
            <w:tcW w:type="dxa" w:w="6236"/>
            <w:vAlign w:val="top"/>
          </w:tcPr>
          <w:p>
            <w:r/>
            <w:r>
              <w:rPr>
                <w:sz w:val="20"/>
              </w:rPr>
              <w:t>Lógica de negocio: CRUD, cálculos, integración IA.</w:t>
            </w:r>
          </w:p>
        </w:tc>
      </w:tr>
      <w:tr>
        <w:tc>
          <w:tcPr>
            <w:tcW w:type="dxa" w:w="1417"/>
            <w:vAlign w:val="top"/>
          </w:tcPr>
          <w:p>
            <w:r/>
            <w:r>
              <w:rPr>
                <w:b/>
                <w:sz w:val="20"/>
              </w:rPr>
              <w:t>Rutas</w:t>
            </w:r>
          </w:p>
        </w:tc>
        <w:tc>
          <w:tcPr>
            <w:tcW w:type="dxa" w:w="2268"/>
            <w:vAlign w:val="top"/>
          </w:tcPr>
          <w:p>
            <w:r/>
            <w:r>
              <w:rPr>
                <w:sz w:val="20"/>
              </w:rPr>
              <w:t>app/routes</w:t>
            </w:r>
          </w:p>
        </w:tc>
        <w:tc>
          <w:tcPr>
            <w:tcW w:type="dxa" w:w="6236"/>
            <w:vAlign w:val="top"/>
          </w:tcPr>
          <w:p>
            <w:r/>
            <w:r>
              <w:rPr>
                <w:sz w:val="20"/>
              </w:rPr>
              <w:t>Endpoints HTTP, autorización, rate limiting.</w:t>
            </w:r>
          </w:p>
        </w:tc>
      </w:tr>
      <w:tr>
        <w:tc>
          <w:tcPr>
            <w:tcW w:type="dxa" w:w="1417"/>
            <w:vAlign w:val="top"/>
          </w:tcPr>
          <w:p>
            <w:r/>
            <w:r>
              <w:rPr>
                <w:b/>
                <w:sz w:val="20"/>
              </w:rPr>
              <w:t>Core</w:t>
            </w:r>
          </w:p>
        </w:tc>
        <w:tc>
          <w:tcPr>
            <w:tcW w:type="dxa" w:w="2268"/>
            <w:vAlign w:val="top"/>
          </w:tcPr>
          <w:p>
            <w:r/>
            <w:r>
              <w:rPr>
                <w:sz w:val="20"/>
              </w:rPr>
              <w:t>app/core</w:t>
            </w:r>
          </w:p>
        </w:tc>
        <w:tc>
          <w:tcPr>
            <w:tcW w:type="dxa" w:w="6236"/>
            <w:vAlign w:val="top"/>
          </w:tcPr>
          <w:p>
            <w:r/>
            <w:r>
              <w:rPr>
                <w:sz w:val="20"/>
              </w:rPr>
              <w:t>Configuración, seguridad (JWT, bcrypt), logging, limiter.</w:t>
            </w:r>
          </w:p>
        </w:tc>
      </w:tr>
    </w:tbl>
    <w:p>
      <w:pPr>
        <w:pStyle w:val="Heading1"/>
      </w:pPr>
      <w:r>
        <w:t>5. Patrones y estilos arquitectónicos</w:t>
      </w:r>
    </w:p>
    <w:p>
      <w:pPr>
        <w:pStyle w:val="ListBullet"/>
        <w:spacing w:after="40"/>
        <w:ind w:left="340"/>
      </w:pPr>
      <w:r>
        <w:rPr>
          <w:b/>
          <w:sz w:val="22"/>
        </w:rPr>
        <w:t xml:space="preserve">Service Layer: </w:t>
      </w:r>
      <w:r>
        <w:rPr>
          <w:sz w:val="22"/>
        </w:rPr>
        <w:t>El backend implementa el patrón Repository/Service sobre SQLAlchemy 2.0. Las rutas HTTP son delgadas y delegan toda la lógica a servicios. Esto facilita las pruebas unitarias y reduce el acoplamiento.</w:t>
      </w:r>
    </w:p>
    <w:p>
      <w:pPr>
        <w:pStyle w:val="ListBullet"/>
        <w:spacing w:after="40"/>
        <w:ind w:left="340"/>
      </w:pPr>
      <w:r>
        <w:rPr>
          <w:b/>
          <w:sz w:val="22"/>
        </w:rPr>
        <w:t xml:space="preserve">App Router (Next.js): </w:t>
      </w:r>
      <w:r>
        <w:rPr>
          <w:sz w:val="22"/>
        </w:rPr>
        <w:t>El frontend usa App Router de Next.js 16 con grupos de rutas: '(app)' agrupa las rutas autenticadas que comparten layout.</w:t>
      </w:r>
    </w:p>
    <w:p>
      <w:pPr>
        <w:pStyle w:val="ListBullet"/>
        <w:spacing w:after="40"/>
        <w:ind w:left="340"/>
      </w:pPr>
      <w:r>
        <w:rPr>
          <w:b/>
          <w:sz w:val="22"/>
        </w:rPr>
        <w:t xml:space="preserve">Single Source of Truth: </w:t>
      </w:r>
      <w:r>
        <w:rPr>
          <w:sz w:val="22"/>
        </w:rPr>
        <w:t>El estado global de la aplicación (usuario, empresa activa) se gestiona con un único AppContext en el frontend.</w:t>
      </w:r>
    </w:p>
    <w:p>
      <w:pPr>
        <w:pStyle w:val="ListBullet"/>
        <w:spacing w:after="40"/>
        <w:ind w:left="340"/>
      </w:pPr>
      <w:r>
        <w:rPr>
          <w:b/>
          <w:sz w:val="22"/>
        </w:rPr>
        <w:t xml:space="preserve">Token Blacklist: </w:t>
      </w:r>
      <w:r>
        <w:rPr>
          <w:sz w:val="22"/>
        </w:rPr>
        <w:t>El backend aplica token JWT con revocación (blacklist) para soportar logout efectivo.</w:t>
      </w:r>
    </w:p>
    <w:p>
      <w:pPr>
        <w:pStyle w:val="ListBullet"/>
        <w:spacing w:after="40"/>
        <w:ind w:left="340"/>
      </w:pPr>
      <w:r>
        <w:rPr>
          <w:b/>
          <w:sz w:val="22"/>
        </w:rPr>
        <w:t xml:space="preserve">ETL manual: </w:t>
      </w:r>
      <w:r>
        <w:rPr>
          <w:sz w:val="22"/>
        </w:rPr>
        <w:t>Las migraciones de datos de SQLite a PostgreSQL se realizan con un script ad-hoc (migrate_to_neon.py) que exporta/importa en formato JSON, evitando dependencias de Alembic en el MVP.</w:t>
      </w:r>
    </w:p>
    <w:p>
      <w:pPr>
        <w:pStyle w:val="Heading1"/>
      </w:pPr>
      <w:r>
        <w:t>6. Decisiones técnicas relevantes</w:t>
      </w:r>
    </w:p>
    <w:p>
      <w:pPr>
        <w:spacing w:before="80" w:after="40"/>
      </w:pPr>
      <w:r>
        <w:rPr>
          <w:b/>
          <w:i/>
          <w:color w:val="1F497D"/>
          <w:sz w:val="18"/>
        </w:rPr>
        <w:t xml:space="preserve">Tabla 1 — </w:t>
      </w:r>
      <w:r>
        <w:rPr>
          <w:i/>
          <w:color w:val="404040"/>
          <w:sz w:val="18"/>
        </w:rPr>
        <w:t>Decisiones arquitectónicas (ADR) del MVP</w:t>
      </w:r>
    </w:p>
    <w:tbl>
      <w:tblPr>
        <w:tblStyle w:val="TableGrid"/>
        <w:tblW w:type="auto" w:w="0"/>
        <w:jc w:val="left"/>
        <w:tblLook w:firstColumn="1" w:firstRow="1" w:lastColumn="0" w:lastRow="0" w:noHBand="0" w:noVBand="1" w:val="04A0"/>
      </w:tblPr>
      <w:tblGrid>
        <w:gridCol w:w="3324"/>
        <w:gridCol w:w="3324"/>
        <w:gridCol w:w="3324"/>
      </w:tblGrid>
      <w:tr>
        <w:tc>
          <w:tcPr>
            <w:tcW w:type="dxa" w:w="1020"/>
            <w:shd w:val="clear" w:color="auto" w:fill="D9E2F3"/>
            <w:vAlign w:val="center"/>
          </w:tcPr>
          <w:p>
            <w:r/>
            <w:r>
              <w:rPr>
                <w:b/>
                <w:color w:val="1F497D"/>
                <w:sz w:val="20"/>
              </w:rPr>
              <w:t>ID</w:t>
            </w:r>
          </w:p>
        </w:tc>
        <w:tc>
          <w:tcPr>
            <w:tcW w:type="dxa" w:w="2835"/>
            <w:shd w:val="clear" w:color="auto" w:fill="D9E2F3"/>
            <w:vAlign w:val="center"/>
          </w:tcPr>
          <w:p>
            <w:r/>
            <w:r>
              <w:rPr>
                <w:b/>
                <w:color w:val="1F497D"/>
                <w:sz w:val="20"/>
              </w:rPr>
              <w:t>Decisión</w:t>
            </w:r>
          </w:p>
        </w:tc>
        <w:tc>
          <w:tcPr>
            <w:tcW w:type="dxa" w:w="6066"/>
            <w:shd w:val="clear" w:color="auto" w:fill="D9E2F3"/>
            <w:vAlign w:val="center"/>
          </w:tcPr>
          <w:p>
            <w:r/>
            <w:r>
              <w:rPr>
                <w:b/>
                <w:color w:val="1F497D"/>
                <w:sz w:val="20"/>
              </w:rPr>
              <w:t>Justificación</w:t>
            </w:r>
          </w:p>
        </w:tc>
      </w:tr>
      <w:tr>
        <w:tc>
          <w:tcPr>
            <w:tcW w:type="dxa" w:w="1020"/>
            <w:vAlign w:val="top"/>
          </w:tcPr>
          <w:p>
            <w:r/>
            <w:r>
              <w:rPr>
                <w:b/>
                <w:sz w:val="20"/>
              </w:rPr>
              <w:t>ADR-01</w:t>
            </w:r>
          </w:p>
        </w:tc>
        <w:tc>
          <w:tcPr>
            <w:tcW w:type="dxa" w:w="2835"/>
            <w:vAlign w:val="top"/>
          </w:tcPr>
          <w:p>
            <w:r/>
            <w:r>
              <w:rPr>
                <w:sz w:val="20"/>
              </w:rPr>
              <w:t>Elegir Next.js 16 + React 19 sobre alternativas (Remix, Astro)</w:t>
            </w:r>
          </w:p>
        </w:tc>
        <w:tc>
          <w:tcPr>
            <w:tcW w:type="dxa" w:w="6066"/>
            <w:vAlign w:val="top"/>
          </w:tcPr>
          <w:p>
            <w:r/>
            <w:r>
              <w:rPr>
                <w:sz w:val="20"/>
              </w:rPr>
              <w:t>Rendimiento, ecosistema maduro, despliegue directo a Vercel, tipado TS.</w:t>
            </w:r>
          </w:p>
        </w:tc>
      </w:tr>
      <w:tr>
        <w:tc>
          <w:tcPr>
            <w:tcW w:type="dxa" w:w="1020"/>
            <w:vAlign w:val="top"/>
          </w:tcPr>
          <w:p>
            <w:r/>
            <w:r>
              <w:rPr>
                <w:b/>
                <w:sz w:val="20"/>
              </w:rPr>
              <w:t>ADR-02</w:t>
            </w:r>
          </w:p>
        </w:tc>
        <w:tc>
          <w:tcPr>
            <w:tcW w:type="dxa" w:w="2835"/>
            <w:vAlign w:val="top"/>
          </w:tcPr>
          <w:p>
            <w:r/>
            <w:r>
              <w:rPr>
                <w:sz w:val="20"/>
              </w:rPr>
              <w:t>Elegir FastAPI sobre Flask o Django REST</w:t>
            </w:r>
          </w:p>
        </w:tc>
        <w:tc>
          <w:tcPr>
            <w:tcW w:type="dxa" w:w="6066"/>
            <w:vAlign w:val="top"/>
          </w:tcPr>
          <w:p>
            <w:r/>
            <w:r>
              <w:rPr>
                <w:sz w:val="20"/>
              </w:rPr>
              <w:t>Tipado nativo, async/await, OpenAPI automático, ecosistema pydantic.</w:t>
            </w:r>
          </w:p>
        </w:tc>
      </w:tr>
      <w:tr>
        <w:tc>
          <w:tcPr>
            <w:tcW w:type="dxa" w:w="1020"/>
            <w:vAlign w:val="top"/>
          </w:tcPr>
          <w:p>
            <w:r/>
            <w:r>
              <w:rPr>
                <w:b/>
                <w:sz w:val="20"/>
              </w:rPr>
              <w:t>ADR-03</w:t>
            </w:r>
          </w:p>
        </w:tc>
        <w:tc>
          <w:tcPr>
            <w:tcW w:type="dxa" w:w="2835"/>
            <w:vAlign w:val="top"/>
          </w:tcPr>
          <w:p>
            <w:r/>
            <w:r>
              <w:rPr>
                <w:sz w:val="20"/>
              </w:rPr>
              <w:t>Elegir SQLAlchemy 2.0 sobre SQLModel o Tortoise</w:t>
            </w:r>
          </w:p>
        </w:tc>
        <w:tc>
          <w:tcPr>
            <w:tcW w:type="dxa" w:w="6066"/>
            <w:vAlign w:val="top"/>
          </w:tcPr>
          <w:p>
            <w:r/>
            <w:r>
              <w:rPr>
                <w:sz w:val="20"/>
              </w:rPr>
              <w:t>Madurez, soporte completo de Postgres, migraciones simples.</w:t>
            </w:r>
          </w:p>
        </w:tc>
      </w:tr>
      <w:tr>
        <w:tc>
          <w:tcPr>
            <w:tcW w:type="dxa" w:w="1020"/>
            <w:vAlign w:val="top"/>
          </w:tcPr>
          <w:p>
            <w:r/>
            <w:r>
              <w:rPr>
                <w:b/>
                <w:sz w:val="20"/>
              </w:rPr>
              <w:t>ADR-04</w:t>
            </w:r>
          </w:p>
        </w:tc>
        <w:tc>
          <w:tcPr>
            <w:tcW w:type="dxa" w:w="2835"/>
            <w:vAlign w:val="top"/>
          </w:tcPr>
          <w:p>
            <w:r/>
            <w:r>
              <w:rPr>
                <w:sz w:val="20"/>
              </w:rPr>
              <w:t>Elegir Neon PostgreSQL sobre Supabase o RDS</w:t>
            </w:r>
          </w:p>
        </w:tc>
        <w:tc>
          <w:tcPr>
            <w:tcW w:type="dxa" w:w="6066"/>
            <w:vAlign w:val="top"/>
          </w:tcPr>
          <w:p>
            <w:r/>
            <w:r>
              <w:rPr>
                <w:sz w:val="20"/>
              </w:rPr>
              <w:t>Compatibilidad nativa con Vercel, plan gratuito inicial, branching.</w:t>
            </w:r>
          </w:p>
        </w:tc>
      </w:tr>
      <w:tr>
        <w:tc>
          <w:tcPr>
            <w:tcW w:type="dxa" w:w="1020"/>
            <w:vAlign w:val="top"/>
          </w:tcPr>
          <w:p>
            <w:r/>
            <w:r>
              <w:rPr>
                <w:b/>
                <w:sz w:val="20"/>
              </w:rPr>
              <w:t>ADR-05</w:t>
            </w:r>
          </w:p>
        </w:tc>
        <w:tc>
          <w:tcPr>
            <w:tcW w:type="dxa" w:w="2835"/>
            <w:vAlign w:val="top"/>
          </w:tcPr>
          <w:p>
            <w:r/>
            <w:r>
              <w:rPr>
                <w:sz w:val="20"/>
              </w:rPr>
              <w:t>Almacenar binarios (documentos de base legal) en BYTEA</w:t>
            </w:r>
          </w:p>
        </w:tc>
        <w:tc>
          <w:tcPr>
            <w:tcW w:type="dxa" w:w="6066"/>
            <w:vAlign w:val="top"/>
          </w:tcPr>
          <w:p>
            <w:r/>
            <w:r>
              <w:rPr>
                <w:sz w:val="20"/>
              </w:rPr>
              <w:t>Simplicidad operativa en el MVP. Reconocido como riesgo: migrar a S3 en V2.</w:t>
            </w:r>
          </w:p>
        </w:tc>
      </w:tr>
      <w:tr>
        <w:tc>
          <w:tcPr>
            <w:tcW w:type="dxa" w:w="1020"/>
            <w:vAlign w:val="top"/>
          </w:tcPr>
          <w:p>
            <w:r/>
            <w:r>
              <w:rPr>
                <w:b/>
                <w:sz w:val="20"/>
              </w:rPr>
              <w:t>ADR-06</w:t>
            </w:r>
          </w:p>
        </w:tc>
        <w:tc>
          <w:tcPr>
            <w:tcW w:type="dxa" w:w="2835"/>
            <w:vAlign w:val="top"/>
          </w:tcPr>
          <w:p>
            <w:r/>
            <w:r>
              <w:rPr>
                <w:sz w:val="20"/>
              </w:rPr>
              <w:t>JWT con expiración de 8 horas</w:t>
            </w:r>
          </w:p>
        </w:tc>
        <w:tc>
          <w:tcPr>
            <w:tcW w:type="dxa" w:w="6066"/>
            <w:vAlign w:val="top"/>
          </w:tcPr>
          <w:p>
            <w:r/>
            <w:r>
              <w:rPr>
                <w:sz w:val="20"/>
              </w:rPr>
              <w:t>Balance entre seguridad y UX. Reforzado con blacklist para logout.</w:t>
            </w:r>
          </w:p>
        </w:tc>
      </w:tr>
      <w:tr>
        <w:tc>
          <w:tcPr>
            <w:tcW w:type="dxa" w:w="1020"/>
            <w:vAlign w:val="top"/>
          </w:tcPr>
          <w:p>
            <w:r/>
            <w:r>
              <w:rPr>
                <w:b/>
                <w:sz w:val="20"/>
              </w:rPr>
              <w:t>ADR-07</w:t>
            </w:r>
          </w:p>
        </w:tc>
        <w:tc>
          <w:tcPr>
            <w:tcW w:type="dxa" w:w="2835"/>
            <w:vAlign w:val="top"/>
          </w:tcPr>
          <w:p>
            <w:r/>
            <w:r>
              <w:rPr>
                <w:sz w:val="20"/>
              </w:rPr>
              <w:t>Rate limiting con slowapi</w:t>
            </w:r>
          </w:p>
        </w:tc>
        <w:tc>
          <w:tcPr>
            <w:tcW w:type="dxa" w:w="6066"/>
            <w:vAlign w:val="top"/>
          </w:tcPr>
          <w:p>
            <w:r/>
            <w:r>
              <w:rPr>
                <w:sz w:val="20"/>
              </w:rPr>
              <w:t>Mitigación de fuerza bruta y abuso en endpoints sensibles.</w:t>
            </w:r>
          </w:p>
        </w:tc>
      </w:tr>
      <w:tr>
        <w:tc>
          <w:tcPr>
            <w:tcW w:type="dxa" w:w="1020"/>
            <w:vAlign w:val="top"/>
          </w:tcPr>
          <w:p>
            <w:r/>
            <w:r>
              <w:rPr>
                <w:b/>
                <w:sz w:val="20"/>
              </w:rPr>
              <w:t>ADR-08</w:t>
            </w:r>
          </w:p>
        </w:tc>
        <w:tc>
          <w:tcPr>
            <w:tcW w:type="dxa" w:w="2835"/>
            <w:vAlign w:val="top"/>
          </w:tcPr>
          <w:p>
            <w:r/>
            <w:r>
              <w:rPr>
                <w:sz w:val="20"/>
              </w:rPr>
              <w:t>Renderizar Mermaid a PNG en build-time (no runtime)</w:t>
            </w:r>
          </w:p>
        </w:tc>
        <w:tc>
          <w:tcPr>
            <w:tcW w:type="dxa" w:w="6066"/>
            <w:vAlign w:val="top"/>
          </w:tcPr>
          <w:p>
            <w:r/>
            <w:r>
              <w:rPr>
                <w:sz w:val="20"/>
              </w:rPr>
              <w:t>Word no soporta Mermaid; el PNG se pre-renderiza con mermaid-cli.</w:t>
            </w:r>
          </w:p>
        </w:tc>
      </w:tr>
    </w:tbl>
    <w:p>
      <w:pPr>
        <w:pStyle w:val="Heading1"/>
      </w:pPr>
      <w:r>
        <w:t>7. Diagrama de despliegue</w:t>
      </w:r>
    </w:p>
    <w:p>
      <w:r>
        <w:rPr>
          <w:sz w:val="22"/>
        </w:rPr>
        <w:t>El siguiente diagrama muestra la topología de despliegue en producción, con Vercel como proveedor principal y Neon como servicio de base de datos.</w:t>
      </w:r>
    </w:p>
    <w:p>
      <w:pPr>
        <w:jc w:val="center"/>
      </w:pPr>
      <w:r>
        <w:drawing>
          <wp:inline xmlns:a="http://schemas.openxmlformats.org/drawingml/2006/main" xmlns:pic="http://schemas.openxmlformats.org/drawingml/2006/picture">
            <wp:extent cx="3504463" cy="4571999"/>
            <wp:docPr id="3" name="Picture 3"/>
            <wp:cNvGraphicFramePr>
              <a:graphicFrameLocks noChangeAspect="1"/>
            </wp:cNvGraphicFramePr>
            <a:graphic>
              <a:graphicData uri="http://schemas.openxmlformats.org/drawingml/2006/picture">
                <pic:pic>
                  <pic:nvPicPr>
                    <pic:cNvPr id="0" name="deploy_-4552564021426113594.png"/>
                    <pic:cNvPicPr/>
                  </pic:nvPicPr>
                  <pic:blipFill>
                    <a:blip r:embed="rId13"/>
                    <a:stretch>
                      <a:fillRect/>
                    </a:stretch>
                  </pic:blipFill>
                  <pic:spPr>
                    <a:xfrm>
                      <a:off x="0" y="0"/>
                      <a:ext cx="3504463" cy="4571999"/>
                    </a:xfrm>
                    <a:prstGeom prst="rect"/>
                  </pic:spPr>
                </pic:pic>
              </a:graphicData>
            </a:graphic>
          </wp:inline>
        </w:drawing>
      </w:r>
    </w:p>
    <w:p>
      <w:pPr>
        <w:spacing w:before="40" w:after="200"/>
        <w:jc w:val="center"/>
      </w:pPr>
      <w:r>
        <w:rPr>
          <w:b/>
          <w:i/>
          <w:color w:val="1F497D"/>
          <w:sz w:val="18"/>
        </w:rPr>
        <w:t xml:space="preserve">Figura 3 — </w:t>
      </w:r>
      <w:r>
        <w:rPr>
          <w:i/>
          <w:color w:val="404040"/>
          <w:sz w:val="18"/>
        </w:rPr>
        <w:t>Topología de despliegue: Vercel (FE+API) y Neon (PostgreSQL).</w:t>
      </w:r>
    </w:p>
    <w:p>
      <w:pPr>
        <w:pStyle w:val="Heading1"/>
      </w:pPr>
      <w:r>
        <w:t>8. Diagramas de secuencia</w:t>
      </w:r>
    </w:p>
    <w:p>
      <w:pPr>
        <w:pStyle w:val="Heading2"/>
      </w:pPr>
      <w:r>
        <w:t>8.1 Secuencia de login</w:t>
      </w:r>
    </w:p>
    <w:p>
      <w:pPr>
        <w:jc w:val="center"/>
      </w:pPr>
      <w:r>
        <w:drawing>
          <wp:inline xmlns:a="http://schemas.openxmlformats.org/drawingml/2006/main" xmlns:pic="http://schemas.openxmlformats.org/drawingml/2006/picture">
            <wp:extent cx="5405142" cy="4571999"/>
            <wp:docPr id="4" name="Picture 4"/>
            <wp:cNvGraphicFramePr>
              <a:graphicFrameLocks noChangeAspect="1"/>
            </wp:cNvGraphicFramePr>
            <a:graphic>
              <a:graphicData uri="http://schemas.openxmlformats.org/drawingml/2006/picture">
                <pic:pic>
                  <pic:nvPicPr>
                    <pic:cNvPr id="0" name="seq_login_6602150482968720207.png"/>
                    <pic:cNvPicPr/>
                  </pic:nvPicPr>
                  <pic:blipFill>
                    <a:blip r:embed="rId14"/>
                    <a:stretch>
                      <a:fillRect/>
                    </a:stretch>
                  </pic:blipFill>
                  <pic:spPr>
                    <a:xfrm>
                      <a:off x="0" y="0"/>
                      <a:ext cx="5405142" cy="4571999"/>
                    </a:xfrm>
                    <a:prstGeom prst="rect"/>
                  </pic:spPr>
                </pic:pic>
              </a:graphicData>
            </a:graphic>
          </wp:inline>
        </w:drawing>
      </w:r>
    </w:p>
    <w:p>
      <w:pPr>
        <w:spacing w:before="40" w:after="200"/>
        <w:jc w:val="center"/>
      </w:pPr>
      <w:r>
        <w:rPr>
          <w:b/>
          <w:i/>
          <w:color w:val="1F497D"/>
          <w:sz w:val="18"/>
        </w:rPr>
        <w:t xml:space="preserve">Figura 4 — </w:t>
      </w:r>
      <w:r>
        <w:rPr>
          <w:i/>
          <w:color w:val="404040"/>
          <w:sz w:val="18"/>
        </w:rPr>
        <w:t>Secuencia de login con rate limiting y JWT.</w:t>
      </w:r>
    </w:p>
    <w:p>
      <w:pPr>
        <w:pStyle w:val="Heading2"/>
      </w:pPr>
      <w:r>
        <w:t>8.2 Secuencia de creación de RAT (wizard)</w:t>
      </w:r>
    </w:p>
    <w:p>
      <w:pPr>
        <w:jc w:val="center"/>
      </w:pPr>
      <w:r>
        <w:drawing>
          <wp:inline xmlns:a="http://schemas.openxmlformats.org/drawingml/2006/main" xmlns:pic="http://schemas.openxmlformats.org/drawingml/2006/picture">
            <wp:extent cx="5943600" cy="4421261"/>
            <wp:docPr id="5" name="Picture 5"/>
            <wp:cNvGraphicFramePr>
              <a:graphicFrameLocks noChangeAspect="1"/>
            </wp:cNvGraphicFramePr>
            <a:graphic>
              <a:graphicData uri="http://schemas.openxmlformats.org/drawingml/2006/picture">
                <pic:pic>
                  <pic:nvPicPr>
                    <pic:cNvPr id="0" name="seq_rat_1223734313053307143.png"/>
                    <pic:cNvPicPr/>
                  </pic:nvPicPr>
                  <pic:blipFill>
                    <a:blip r:embed="rId15"/>
                    <a:stretch>
                      <a:fillRect/>
                    </a:stretch>
                  </pic:blipFill>
                  <pic:spPr>
                    <a:xfrm>
                      <a:off x="0" y="0"/>
                      <a:ext cx="5943600" cy="4421261"/>
                    </a:xfrm>
                    <a:prstGeom prst="rect"/>
                  </pic:spPr>
                </pic:pic>
              </a:graphicData>
            </a:graphic>
          </wp:inline>
        </w:drawing>
      </w:r>
    </w:p>
    <w:p>
      <w:pPr>
        <w:spacing w:before="40" w:after="200"/>
        <w:jc w:val="center"/>
      </w:pPr>
      <w:r>
        <w:rPr>
          <w:b/>
          <w:i/>
          <w:color w:val="1F497D"/>
          <w:sz w:val="18"/>
        </w:rPr>
        <w:t xml:space="preserve">Figura 5 — </w:t>
      </w:r>
      <w:r>
        <w:rPr>
          <w:i/>
          <w:color w:val="404040"/>
          <w:sz w:val="18"/>
        </w:rPr>
        <w:t>Secuencia de creación de RAT con auditoría automática.</w:t>
      </w:r>
    </w:p>
    <w:p>
      <w:pPr>
        <w:pStyle w:val="Heading2"/>
      </w:pPr>
      <w:r>
        <w:t>8.3 Secuencia de exportación a PDF</w:t>
      </w:r>
    </w:p>
    <w:p>
      <w:pPr>
        <w:jc w:val="center"/>
      </w:pPr>
      <w:r>
        <w:drawing>
          <wp:inline xmlns:a="http://schemas.openxmlformats.org/drawingml/2006/main" xmlns:pic="http://schemas.openxmlformats.org/drawingml/2006/picture">
            <wp:extent cx="5943600" cy="2931572"/>
            <wp:docPr id="6" name="Picture 6"/>
            <wp:cNvGraphicFramePr>
              <a:graphicFrameLocks noChangeAspect="1"/>
            </wp:cNvGraphicFramePr>
            <a:graphic>
              <a:graphicData uri="http://schemas.openxmlformats.org/drawingml/2006/picture">
                <pic:pic>
                  <pic:nvPicPr>
                    <pic:cNvPr id="0" name="seq_pdf_7624646559849155433.png"/>
                    <pic:cNvPicPr/>
                  </pic:nvPicPr>
                  <pic:blipFill>
                    <a:blip r:embed="rId16"/>
                    <a:stretch>
                      <a:fillRect/>
                    </a:stretch>
                  </pic:blipFill>
                  <pic:spPr>
                    <a:xfrm>
                      <a:off x="0" y="0"/>
                      <a:ext cx="5943600" cy="2931572"/>
                    </a:xfrm>
                    <a:prstGeom prst="rect"/>
                  </pic:spPr>
                </pic:pic>
              </a:graphicData>
            </a:graphic>
          </wp:inline>
        </w:drawing>
      </w:r>
    </w:p>
    <w:p>
      <w:pPr>
        <w:spacing w:before="40" w:after="200"/>
        <w:jc w:val="center"/>
      </w:pPr>
      <w:r>
        <w:rPr>
          <w:b/>
          <w:i/>
          <w:color w:val="1F497D"/>
          <w:sz w:val="18"/>
        </w:rPr>
        <w:t xml:space="preserve">Figura 6 — </w:t>
      </w:r>
      <w:r>
        <w:rPr>
          <w:i/>
          <w:color w:val="404040"/>
          <w:sz w:val="18"/>
        </w:rPr>
        <w:t>Secuencia de exportación a PDF con ReportLab.</w:t>
      </w:r>
    </w:p>
    <w:p>
      <w:pPr>
        <w:pStyle w:val="Heading1"/>
      </w:pPr>
      <w:r>
        <w:t>9. Stack tecnológico</w:t>
      </w:r>
    </w:p>
    <w:p>
      <w:pPr>
        <w:spacing w:before="80" w:after="40"/>
      </w:pPr>
      <w:r>
        <w:rPr>
          <w:b/>
          <w:i/>
          <w:color w:val="1F497D"/>
          <w:sz w:val="18"/>
        </w:rPr>
        <w:t xml:space="preserve">Tabla 2 — </w:t>
      </w:r>
      <w:r>
        <w:rPr>
          <w:i/>
          <w:color w:val="404040"/>
          <w:sz w:val="18"/>
        </w:rPr>
        <w:t>Stack completo del sistema</w:t>
      </w:r>
    </w:p>
    <w:tbl>
      <w:tblPr>
        <w:tblStyle w:val="TableGrid"/>
        <w:tblW w:type="auto" w:w="0"/>
        <w:jc w:val="left"/>
        <w:tblLook w:firstColumn="1" w:firstRow="1" w:lastColumn="0" w:lastRow="0" w:noHBand="0" w:noVBand="1" w:val="04A0"/>
      </w:tblPr>
      <w:tblGrid>
        <w:gridCol w:w="3324"/>
        <w:gridCol w:w="3324"/>
        <w:gridCol w:w="3324"/>
      </w:tblGrid>
      <w:tr>
        <w:tc>
          <w:tcPr>
            <w:tcW w:type="dxa" w:w="1701"/>
            <w:shd w:val="clear" w:color="auto" w:fill="D9E2F3"/>
            <w:vAlign w:val="center"/>
          </w:tcPr>
          <w:p>
            <w:r/>
            <w:r>
              <w:rPr>
                <w:b/>
                <w:color w:val="1F497D"/>
                <w:sz w:val="20"/>
              </w:rPr>
              <w:t>Capa</w:t>
            </w:r>
          </w:p>
        </w:tc>
        <w:tc>
          <w:tcPr>
            <w:tcW w:type="dxa" w:w="2835"/>
            <w:shd w:val="clear" w:color="auto" w:fill="D9E2F3"/>
            <w:vAlign w:val="center"/>
          </w:tcPr>
          <w:p>
            <w:r/>
            <w:r>
              <w:rPr>
                <w:b/>
                <w:color w:val="1F497D"/>
                <w:sz w:val="20"/>
              </w:rPr>
              <w:t>Tecnología</w:t>
            </w:r>
          </w:p>
        </w:tc>
        <w:tc>
          <w:tcPr>
            <w:tcW w:type="dxa" w:w="5386"/>
            <w:shd w:val="clear" w:color="auto" w:fill="D9E2F3"/>
            <w:vAlign w:val="center"/>
          </w:tcPr>
          <w:p>
            <w:r/>
            <w:r>
              <w:rPr>
                <w:b/>
                <w:color w:val="1F497D"/>
                <w:sz w:val="20"/>
              </w:rPr>
              <w:t>Propósito</w:t>
            </w:r>
          </w:p>
        </w:tc>
      </w:tr>
      <w:tr>
        <w:tc>
          <w:tcPr>
            <w:tcW w:type="dxa" w:w="1701"/>
            <w:vAlign w:val="top"/>
          </w:tcPr>
          <w:p>
            <w:r/>
            <w:r>
              <w:rPr>
                <w:b/>
                <w:sz w:val="20"/>
              </w:rPr>
              <w:t>Frontend</w:t>
            </w:r>
          </w:p>
        </w:tc>
        <w:tc>
          <w:tcPr>
            <w:tcW w:type="dxa" w:w="2835"/>
            <w:vAlign w:val="top"/>
          </w:tcPr>
          <w:p>
            <w:r/>
            <w:r>
              <w:rPr>
                <w:sz w:val="20"/>
              </w:rPr>
              <w:t>Next.js 16.2</w:t>
            </w:r>
          </w:p>
        </w:tc>
        <w:tc>
          <w:tcPr>
            <w:tcW w:type="dxa" w:w="5386"/>
            <w:vAlign w:val="top"/>
          </w:tcPr>
          <w:p>
            <w:r/>
            <w:r>
              <w:rPr>
                <w:sz w:val="20"/>
              </w:rPr>
              <w:t>Framework React con App Router</w:t>
            </w:r>
          </w:p>
        </w:tc>
      </w:tr>
      <w:tr>
        <w:tc>
          <w:tcPr>
            <w:tcW w:type="dxa" w:w="1701"/>
            <w:vAlign w:val="top"/>
          </w:tcPr>
          <w:p>
            <w:r/>
            <w:r>
              <w:rPr>
                <w:b/>
                <w:sz w:val="20"/>
              </w:rPr>
              <w:t>Frontend</w:t>
            </w:r>
          </w:p>
        </w:tc>
        <w:tc>
          <w:tcPr>
            <w:tcW w:type="dxa" w:w="2835"/>
            <w:vAlign w:val="top"/>
          </w:tcPr>
          <w:p>
            <w:r/>
            <w:r>
              <w:rPr>
                <w:sz w:val="20"/>
              </w:rPr>
              <w:t>React 19</w:t>
            </w:r>
          </w:p>
        </w:tc>
        <w:tc>
          <w:tcPr>
            <w:tcW w:type="dxa" w:w="5386"/>
            <w:vAlign w:val="top"/>
          </w:tcPr>
          <w:p>
            <w:r/>
            <w:r>
              <w:rPr>
                <w:sz w:val="20"/>
              </w:rPr>
              <w:t>UI declarativa</w:t>
            </w:r>
          </w:p>
        </w:tc>
      </w:tr>
      <w:tr>
        <w:tc>
          <w:tcPr>
            <w:tcW w:type="dxa" w:w="1701"/>
            <w:vAlign w:val="top"/>
          </w:tcPr>
          <w:p>
            <w:r/>
            <w:r>
              <w:rPr>
                <w:b/>
                <w:sz w:val="20"/>
              </w:rPr>
              <w:t>Frontend</w:t>
            </w:r>
          </w:p>
        </w:tc>
        <w:tc>
          <w:tcPr>
            <w:tcW w:type="dxa" w:w="2835"/>
            <w:vAlign w:val="top"/>
          </w:tcPr>
          <w:p>
            <w:r/>
            <w:r>
              <w:rPr>
                <w:sz w:val="20"/>
              </w:rPr>
              <w:t>TypeScript</w:t>
            </w:r>
          </w:p>
        </w:tc>
        <w:tc>
          <w:tcPr>
            <w:tcW w:type="dxa" w:w="5386"/>
            <w:vAlign w:val="top"/>
          </w:tcPr>
          <w:p>
            <w:r/>
            <w:r>
              <w:rPr>
                <w:sz w:val="20"/>
              </w:rPr>
              <w:t>Tipado estático</w:t>
            </w:r>
          </w:p>
        </w:tc>
      </w:tr>
      <w:tr>
        <w:tc>
          <w:tcPr>
            <w:tcW w:type="dxa" w:w="1701"/>
            <w:vAlign w:val="top"/>
          </w:tcPr>
          <w:p>
            <w:r/>
            <w:r>
              <w:rPr>
                <w:b/>
                <w:sz w:val="20"/>
              </w:rPr>
              <w:t>Frontend</w:t>
            </w:r>
          </w:p>
        </w:tc>
        <w:tc>
          <w:tcPr>
            <w:tcW w:type="dxa" w:w="2835"/>
            <w:vAlign w:val="top"/>
          </w:tcPr>
          <w:p>
            <w:r/>
            <w:r>
              <w:rPr>
                <w:sz w:val="20"/>
              </w:rPr>
              <w:t>Tailwind CSS v4</w:t>
            </w:r>
          </w:p>
        </w:tc>
        <w:tc>
          <w:tcPr>
            <w:tcW w:type="dxa" w:w="5386"/>
            <w:vAlign w:val="top"/>
          </w:tcPr>
          <w:p>
            <w:r/>
            <w:r>
              <w:rPr>
                <w:sz w:val="20"/>
              </w:rPr>
              <w:t>Estilos utility-first</w:t>
            </w:r>
          </w:p>
        </w:tc>
      </w:tr>
      <w:tr>
        <w:tc>
          <w:tcPr>
            <w:tcW w:type="dxa" w:w="1701"/>
            <w:vAlign w:val="top"/>
          </w:tcPr>
          <w:p>
            <w:r/>
            <w:r>
              <w:rPr>
                <w:b/>
                <w:sz w:val="20"/>
              </w:rPr>
              <w:t>Frontend</w:t>
            </w:r>
          </w:p>
        </w:tc>
        <w:tc>
          <w:tcPr>
            <w:tcW w:type="dxa" w:w="2835"/>
            <w:vAlign w:val="top"/>
          </w:tcPr>
          <w:p>
            <w:r/>
            <w:r>
              <w:rPr>
                <w:sz w:val="20"/>
              </w:rPr>
              <w:t>Sonner</w:t>
            </w:r>
          </w:p>
        </w:tc>
        <w:tc>
          <w:tcPr>
            <w:tcW w:type="dxa" w:w="5386"/>
            <w:vAlign w:val="top"/>
          </w:tcPr>
          <w:p>
            <w:r/>
            <w:r>
              <w:rPr>
                <w:sz w:val="20"/>
              </w:rPr>
              <w:t>Notificaciones tipo toast</w:t>
            </w:r>
          </w:p>
        </w:tc>
      </w:tr>
      <w:tr>
        <w:tc>
          <w:tcPr>
            <w:tcW w:type="dxa" w:w="1701"/>
            <w:vAlign w:val="top"/>
          </w:tcPr>
          <w:p>
            <w:r/>
            <w:r>
              <w:rPr>
                <w:b/>
                <w:sz w:val="20"/>
              </w:rPr>
              <w:t>Frontend</w:t>
            </w:r>
          </w:p>
        </w:tc>
        <w:tc>
          <w:tcPr>
            <w:tcW w:type="dxa" w:w="2835"/>
            <w:vAlign w:val="top"/>
          </w:tcPr>
          <w:p>
            <w:r/>
            <w:r>
              <w:rPr>
                <w:sz w:val="20"/>
              </w:rPr>
              <w:t>React Hook Form + Zod</w:t>
            </w:r>
          </w:p>
        </w:tc>
        <w:tc>
          <w:tcPr>
            <w:tcW w:type="dxa" w:w="5386"/>
            <w:vAlign w:val="top"/>
          </w:tcPr>
          <w:p>
            <w:r/>
            <w:r>
              <w:rPr>
                <w:sz w:val="20"/>
              </w:rPr>
              <w:t>Formularios y validación</w:t>
            </w:r>
          </w:p>
        </w:tc>
      </w:tr>
      <w:tr>
        <w:tc>
          <w:tcPr>
            <w:tcW w:type="dxa" w:w="1701"/>
            <w:vAlign w:val="top"/>
          </w:tcPr>
          <w:p>
            <w:r/>
            <w:r>
              <w:rPr>
                <w:b/>
                <w:sz w:val="20"/>
              </w:rPr>
              <w:t>Frontend</w:t>
            </w:r>
          </w:p>
        </w:tc>
        <w:tc>
          <w:tcPr>
            <w:tcW w:type="dxa" w:w="2835"/>
            <w:vAlign w:val="top"/>
          </w:tcPr>
          <w:p>
            <w:r/>
            <w:r>
              <w:rPr>
                <w:sz w:val="20"/>
              </w:rPr>
              <w:t>jsPDF + jspdf-autotable</w:t>
            </w:r>
          </w:p>
        </w:tc>
        <w:tc>
          <w:tcPr>
            <w:tcW w:type="dxa" w:w="5386"/>
            <w:vAlign w:val="top"/>
          </w:tcPr>
          <w:p>
            <w:r/>
            <w:r>
              <w:rPr>
                <w:sz w:val="20"/>
              </w:rPr>
              <w:t>Exportación PDF cliente</w:t>
            </w:r>
          </w:p>
        </w:tc>
      </w:tr>
      <w:tr>
        <w:tc>
          <w:tcPr>
            <w:tcW w:type="dxa" w:w="1701"/>
            <w:vAlign w:val="top"/>
          </w:tcPr>
          <w:p>
            <w:r/>
            <w:r>
              <w:rPr>
                <w:b/>
                <w:sz w:val="20"/>
              </w:rPr>
              <w:t>Backend</w:t>
            </w:r>
          </w:p>
        </w:tc>
        <w:tc>
          <w:tcPr>
            <w:tcW w:type="dxa" w:w="2835"/>
            <w:vAlign w:val="top"/>
          </w:tcPr>
          <w:p>
            <w:r/>
            <w:r>
              <w:rPr>
                <w:sz w:val="20"/>
              </w:rPr>
              <w:t>FastAPI 0.115</w:t>
            </w:r>
          </w:p>
        </w:tc>
        <w:tc>
          <w:tcPr>
            <w:tcW w:type="dxa" w:w="5386"/>
            <w:vAlign w:val="top"/>
          </w:tcPr>
          <w:p>
            <w:r/>
            <w:r>
              <w:rPr>
                <w:sz w:val="20"/>
              </w:rPr>
              <w:t>Framework web async</w:t>
            </w:r>
          </w:p>
        </w:tc>
      </w:tr>
      <w:tr>
        <w:tc>
          <w:tcPr>
            <w:tcW w:type="dxa" w:w="1701"/>
            <w:vAlign w:val="top"/>
          </w:tcPr>
          <w:p>
            <w:r/>
            <w:r>
              <w:rPr>
                <w:b/>
                <w:sz w:val="20"/>
              </w:rPr>
              <w:t>Backend</w:t>
            </w:r>
          </w:p>
        </w:tc>
        <w:tc>
          <w:tcPr>
            <w:tcW w:type="dxa" w:w="2835"/>
            <w:vAlign w:val="top"/>
          </w:tcPr>
          <w:p>
            <w:r/>
            <w:r>
              <w:rPr>
                <w:sz w:val="20"/>
              </w:rPr>
              <w:t>Uvicorn</w:t>
            </w:r>
          </w:p>
        </w:tc>
        <w:tc>
          <w:tcPr>
            <w:tcW w:type="dxa" w:w="5386"/>
            <w:vAlign w:val="top"/>
          </w:tcPr>
          <w:p>
            <w:r/>
            <w:r>
              <w:rPr>
                <w:sz w:val="20"/>
              </w:rPr>
              <w:t>Servidor ASGI</w:t>
            </w:r>
          </w:p>
        </w:tc>
      </w:tr>
      <w:tr>
        <w:tc>
          <w:tcPr>
            <w:tcW w:type="dxa" w:w="1701"/>
            <w:vAlign w:val="top"/>
          </w:tcPr>
          <w:p>
            <w:r/>
            <w:r>
              <w:rPr>
                <w:b/>
                <w:sz w:val="20"/>
              </w:rPr>
              <w:t>Backend</w:t>
            </w:r>
          </w:p>
        </w:tc>
        <w:tc>
          <w:tcPr>
            <w:tcW w:type="dxa" w:w="2835"/>
            <w:vAlign w:val="top"/>
          </w:tcPr>
          <w:p>
            <w:r/>
            <w:r>
              <w:rPr>
                <w:sz w:val="20"/>
              </w:rPr>
              <w:t>SQLAlchemy 2.0</w:t>
            </w:r>
          </w:p>
        </w:tc>
        <w:tc>
          <w:tcPr>
            <w:tcW w:type="dxa" w:w="5386"/>
            <w:vAlign w:val="top"/>
          </w:tcPr>
          <w:p>
            <w:r/>
            <w:r>
              <w:rPr>
                <w:sz w:val="20"/>
              </w:rPr>
              <w:t>ORM</w:t>
            </w:r>
          </w:p>
        </w:tc>
      </w:tr>
      <w:tr>
        <w:tc>
          <w:tcPr>
            <w:tcW w:type="dxa" w:w="1701"/>
            <w:vAlign w:val="top"/>
          </w:tcPr>
          <w:p>
            <w:r/>
            <w:r>
              <w:rPr>
                <w:b/>
                <w:sz w:val="20"/>
              </w:rPr>
              <w:t>Backend</w:t>
            </w:r>
          </w:p>
        </w:tc>
        <w:tc>
          <w:tcPr>
            <w:tcW w:type="dxa" w:w="2835"/>
            <w:vAlign w:val="top"/>
          </w:tcPr>
          <w:p>
            <w:r/>
            <w:r>
              <w:rPr>
                <w:sz w:val="20"/>
              </w:rPr>
              <w:t>Pydantic 2.10</w:t>
            </w:r>
          </w:p>
        </w:tc>
        <w:tc>
          <w:tcPr>
            <w:tcW w:type="dxa" w:w="5386"/>
            <w:vAlign w:val="top"/>
          </w:tcPr>
          <w:p>
            <w:r/>
            <w:r>
              <w:rPr>
                <w:sz w:val="20"/>
              </w:rPr>
              <w:t>Validación y serialización</w:t>
            </w:r>
          </w:p>
        </w:tc>
      </w:tr>
      <w:tr>
        <w:tc>
          <w:tcPr>
            <w:tcW w:type="dxa" w:w="1701"/>
            <w:vAlign w:val="top"/>
          </w:tcPr>
          <w:p>
            <w:r/>
            <w:r>
              <w:rPr>
                <w:b/>
                <w:sz w:val="20"/>
              </w:rPr>
              <w:t>Backend</w:t>
            </w:r>
          </w:p>
        </w:tc>
        <w:tc>
          <w:tcPr>
            <w:tcW w:type="dxa" w:w="2835"/>
            <w:vAlign w:val="top"/>
          </w:tcPr>
          <w:p>
            <w:r/>
            <w:r>
              <w:rPr>
                <w:sz w:val="20"/>
              </w:rPr>
              <w:t>python-jose</w:t>
            </w:r>
          </w:p>
        </w:tc>
        <w:tc>
          <w:tcPr>
            <w:tcW w:type="dxa" w:w="5386"/>
            <w:vAlign w:val="top"/>
          </w:tcPr>
          <w:p>
            <w:r/>
            <w:r>
              <w:rPr>
                <w:sz w:val="20"/>
              </w:rPr>
              <w:t>Tokens JWT (HS256)</w:t>
            </w:r>
          </w:p>
        </w:tc>
      </w:tr>
      <w:tr>
        <w:tc>
          <w:tcPr>
            <w:tcW w:type="dxa" w:w="1701"/>
            <w:vAlign w:val="top"/>
          </w:tcPr>
          <w:p>
            <w:r/>
            <w:r>
              <w:rPr>
                <w:b/>
                <w:sz w:val="20"/>
              </w:rPr>
              <w:t>Backend</w:t>
            </w:r>
          </w:p>
        </w:tc>
        <w:tc>
          <w:tcPr>
            <w:tcW w:type="dxa" w:w="2835"/>
            <w:vAlign w:val="top"/>
          </w:tcPr>
          <w:p>
            <w:r/>
            <w:r>
              <w:rPr>
                <w:sz w:val="20"/>
              </w:rPr>
              <w:t>passlib + bcrypt</w:t>
            </w:r>
          </w:p>
        </w:tc>
        <w:tc>
          <w:tcPr>
            <w:tcW w:type="dxa" w:w="5386"/>
            <w:vAlign w:val="top"/>
          </w:tcPr>
          <w:p>
            <w:r/>
            <w:r>
              <w:rPr>
                <w:sz w:val="20"/>
              </w:rPr>
              <w:t>Hashing de contraseñas</w:t>
            </w:r>
          </w:p>
        </w:tc>
      </w:tr>
      <w:tr>
        <w:tc>
          <w:tcPr>
            <w:tcW w:type="dxa" w:w="1701"/>
            <w:vAlign w:val="top"/>
          </w:tcPr>
          <w:p>
            <w:r/>
            <w:r>
              <w:rPr>
                <w:b/>
                <w:sz w:val="20"/>
              </w:rPr>
              <w:t>Backend</w:t>
            </w:r>
          </w:p>
        </w:tc>
        <w:tc>
          <w:tcPr>
            <w:tcW w:type="dxa" w:w="2835"/>
            <w:vAlign w:val="top"/>
          </w:tcPr>
          <w:p>
            <w:r/>
            <w:r>
              <w:rPr>
                <w:sz w:val="20"/>
              </w:rPr>
              <w:t>ReportLab</w:t>
            </w:r>
          </w:p>
        </w:tc>
        <w:tc>
          <w:tcPr>
            <w:tcW w:type="dxa" w:w="5386"/>
            <w:vAlign w:val="top"/>
          </w:tcPr>
          <w:p>
            <w:r/>
            <w:r>
              <w:rPr>
                <w:sz w:val="20"/>
              </w:rPr>
              <w:t>Generación PDF servidor</w:t>
            </w:r>
          </w:p>
        </w:tc>
      </w:tr>
      <w:tr>
        <w:tc>
          <w:tcPr>
            <w:tcW w:type="dxa" w:w="1701"/>
            <w:vAlign w:val="top"/>
          </w:tcPr>
          <w:p>
            <w:r/>
            <w:r>
              <w:rPr>
                <w:b/>
                <w:sz w:val="20"/>
              </w:rPr>
              <w:t>Backend</w:t>
            </w:r>
          </w:p>
        </w:tc>
        <w:tc>
          <w:tcPr>
            <w:tcW w:type="dxa" w:w="2835"/>
            <w:vAlign w:val="top"/>
          </w:tcPr>
          <w:p>
            <w:r/>
            <w:r>
              <w:rPr>
                <w:sz w:val="20"/>
              </w:rPr>
              <w:t>slowapi</w:t>
            </w:r>
          </w:p>
        </w:tc>
        <w:tc>
          <w:tcPr>
            <w:tcW w:type="dxa" w:w="5386"/>
            <w:vAlign w:val="top"/>
          </w:tcPr>
          <w:p>
            <w:r/>
            <w:r>
              <w:rPr>
                <w:sz w:val="20"/>
              </w:rPr>
              <w:t>Rate limiting</w:t>
            </w:r>
          </w:p>
        </w:tc>
      </w:tr>
      <w:tr>
        <w:tc>
          <w:tcPr>
            <w:tcW w:type="dxa" w:w="1701"/>
            <w:vAlign w:val="top"/>
          </w:tcPr>
          <w:p>
            <w:r/>
            <w:r>
              <w:rPr>
                <w:b/>
                <w:sz w:val="20"/>
              </w:rPr>
              <w:t>Backend</w:t>
            </w:r>
          </w:p>
        </w:tc>
        <w:tc>
          <w:tcPr>
            <w:tcW w:type="dxa" w:w="2835"/>
            <w:vAlign w:val="top"/>
          </w:tcPr>
          <w:p>
            <w:r/>
            <w:r>
              <w:rPr>
                <w:sz w:val="20"/>
              </w:rPr>
              <w:t>psycopg2-binary</w:t>
            </w:r>
          </w:p>
        </w:tc>
        <w:tc>
          <w:tcPr>
            <w:tcW w:type="dxa" w:w="5386"/>
            <w:vAlign w:val="top"/>
          </w:tcPr>
          <w:p>
            <w:r/>
            <w:r>
              <w:rPr>
                <w:sz w:val="20"/>
              </w:rPr>
              <w:t>Driver PostgreSQL</w:t>
            </w:r>
          </w:p>
        </w:tc>
      </w:tr>
      <w:tr>
        <w:tc>
          <w:tcPr>
            <w:tcW w:type="dxa" w:w="1701"/>
            <w:vAlign w:val="top"/>
          </w:tcPr>
          <w:p>
            <w:r/>
            <w:r>
              <w:rPr>
                <w:b/>
                <w:sz w:val="20"/>
              </w:rPr>
              <w:t>Infraestructura</w:t>
            </w:r>
          </w:p>
        </w:tc>
        <w:tc>
          <w:tcPr>
            <w:tcW w:type="dxa" w:w="2835"/>
            <w:vAlign w:val="top"/>
          </w:tcPr>
          <w:p>
            <w:r/>
            <w:r>
              <w:rPr>
                <w:sz w:val="20"/>
              </w:rPr>
              <w:t>Vercel</w:t>
            </w:r>
          </w:p>
        </w:tc>
        <w:tc>
          <w:tcPr>
            <w:tcW w:type="dxa" w:w="5386"/>
            <w:vAlign w:val="top"/>
          </w:tcPr>
          <w:p>
            <w:r/>
            <w:r>
              <w:rPr>
                <w:sz w:val="20"/>
              </w:rPr>
              <w:t>Serverless Functions y hosting</w:t>
            </w:r>
          </w:p>
        </w:tc>
      </w:tr>
      <w:tr>
        <w:tc>
          <w:tcPr>
            <w:tcW w:type="dxa" w:w="1701"/>
            <w:vAlign w:val="top"/>
          </w:tcPr>
          <w:p>
            <w:r/>
            <w:r>
              <w:rPr>
                <w:b/>
                <w:sz w:val="20"/>
              </w:rPr>
              <w:t>Infraestructura</w:t>
            </w:r>
          </w:p>
        </w:tc>
        <w:tc>
          <w:tcPr>
            <w:tcW w:type="dxa" w:w="2835"/>
            <w:vAlign w:val="top"/>
          </w:tcPr>
          <w:p>
            <w:r/>
            <w:r>
              <w:rPr>
                <w:sz w:val="20"/>
              </w:rPr>
              <w:t>Neon</w:t>
            </w:r>
          </w:p>
        </w:tc>
        <w:tc>
          <w:tcPr>
            <w:tcW w:type="dxa" w:w="5386"/>
            <w:vAlign w:val="top"/>
          </w:tcPr>
          <w:p>
            <w:r/>
            <w:r>
              <w:rPr>
                <w:sz w:val="20"/>
              </w:rPr>
              <w:t>PostgreSQL administrado</w:t>
            </w:r>
          </w:p>
        </w:tc>
      </w:tr>
      <w:tr>
        <w:tc>
          <w:tcPr>
            <w:tcW w:type="dxa" w:w="1701"/>
            <w:vAlign w:val="top"/>
          </w:tcPr>
          <w:p>
            <w:r/>
            <w:r>
              <w:rPr>
                <w:b/>
                <w:sz w:val="20"/>
              </w:rPr>
              <w:t>IA opcional</w:t>
            </w:r>
          </w:p>
        </w:tc>
        <w:tc>
          <w:tcPr>
            <w:tcW w:type="dxa" w:w="2835"/>
            <w:vAlign w:val="top"/>
          </w:tcPr>
          <w:p>
            <w:r/>
            <w:r>
              <w:rPr>
                <w:sz w:val="20"/>
              </w:rPr>
              <w:t>OpenAI API o compatible</w:t>
            </w:r>
          </w:p>
        </w:tc>
        <w:tc>
          <w:tcPr>
            <w:tcW w:type="dxa" w:w="5386"/>
            <w:vAlign w:val="top"/>
          </w:tcPr>
          <w:p>
            <w:r/>
            <w:r>
              <w:rPr>
                <w:sz w:val="20"/>
              </w:rPr>
              <w:t>Chat contextual</w:t>
            </w:r>
          </w:p>
        </w:tc>
      </w:tr>
      <w:tr>
        <w:tc>
          <w:tcPr>
            <w:tcW w:type="dxa" w:w="1701"/>
            <w:vAlign w:val="top"/>
          </w:tcPr>
          <w:p>
            <w:r/>
            <w:r>
              <w:rPr>
                <w:b/>
                <w:sz w:val="20"/>
              </w:rPr>
              <w:t>Testing</w:t>
            </w:r>
          </w:p>
        </w:tc>
        <w:tc>
          <w:tcPr>
            <w:tcW w:type="dxa" w:w="2835"/>
            <w:vAlign w:val="top"/>
          </w:tcPr>
          <w:p>
            <w:r/>
            <w:r>
              <w:rPr>
                <w:sz w:val="20"/>
              </w:rPr>
              <w:t>pytest + httpx</w:t>
            </w:r>
          </w:p>
        </w:tc>
        <w:tc>
          <w:tcPr>
            <w:tcW w:type="dxa" w:w="5386"/>
            <w:vAlign w:val="top"/>
          </w:tcPr>
          <w:p>
            <w:r/>
            <w:r>
              <w:rPr>
                <w:sz w:val="20"/>
              </w:rPr>
              <w:t>Tests del backend</w:t>
            </w:r>
          </w:p>
        </w:tc>
      </w:tr>
    </w:tbl>
    <w:p>
      <w:pPr>
        <w:pStyle w:val="Heading1"/>
      </w:pPr>
      <w:r>
        <w:t>10. Consideraciones de seguridad</w:t>
      </w:r>
    </w:p>
    <w:p>
      <w:r>
        <w:rPr>
          <w:sz w:val="22"/>
        </w:rPr>
        <w:t>El sistema implementa las siguientes medidas de seguridad:</w:t>
      </w:r>
    </w:p>
    <w:p>
      <w:pPr>
        <w:pStyle w:val="ListBullet"/>
        <w:spacing w:after="40"/>
        <w:ind w:left="340"/>
      </w:pPr>
      <w:r>
        <w:rPr>
          <w:b/>
          <w:sz w:val="22"/>
        </w:rPr>
        <w:t xml:space="preserve">Contraseñas: </w:t>
      </w:r>
      <w:r>
        <w:rPr>
          <w:sz w:val="22"/>
        </w:rPr>
        <w:t>Contraseñas hasheadas con bcrypt; nunca en texto plano.</w:t>
      </w:r>
    </w:p>
    <w:p>
      <w:pPr>
        <w:pStyle w:val="ListBullet"/>
        <w:spacing w:after="40"/>
        <w:ind w:left="340"/>
      </w:pPr>
      <w:r>
        <w:rPr>
          <w:b/>
          <w:sz w:val="22"/>
        </w:rPr>
        <w:t xml:space="preserve">Tokens: </w:t>
      </w:r>
      <w:r>
        <w:rPr>
          <w:sz w:val="22"/>
        </w:rPr>
        <w:t>Tokens JWT con expiración de 8 horas, firmados con HS256.</w:t>
      </w:r>
    </w:p>
    <w:p>
      <w:pPr>
        <w:pStyle w:val="ListBullet"/>
        <w:spacing w:after="40"/>
        <w:ind w:left="340"/>
      </w:pPr>
      <w:r>
        <w:rPr>
          <w:b/>
          <w:sz w:val="22"/>
        </w:rPr>
        <w:t xml:space="preserve">Cookies: </w:t>
      </w:r>
      <w:r>
        <w:rPr>
          <w:sz w:val="22"/>
        </w:rPr>
        <w:t>Cookies httpOnly y Secure en producción; SameSite=None en producción, Lax en desarrollo.</w:t>
      </w:r>
    </w:p>
    <w:p>
      <w:pPr>
        <w:pStyle w:val="ListBullet"/>
        <w:spacing w:after="40"/>
        <w:ind w:left="340"/>
      </w:pPr>
      <w:r>
        <w:rPr>
          <w:b/>
          <w:sz w:val="22"/>
        </w:rPr>
        <w:t xml:space="preserve">Revocación: </w:t>
      </w:r>
      <w:r>
        <w:rPr>
          <w:sz w:val="22"/>
        </w:rPr>
        <w:t>Lista negra de tokens revocados para logout efectivo.</w:t>
      </w:r>
    </w:p>
    <w:p>
      <w:pPr>
        <w:pStyle w:val="ListBullet"/>
        <w:spacing w:after="40"/>
        <w:ind w:left="340"/>
      </w:pPr>
      <w:r>
        <w:rPr>
          <w:b/>
          <w:sz w:val="22"/>
        </w:rPr>
        <w:t xml:space="preserve">Rate limiting: </w:t>
      </w:r>
      <w:r>
        <w:rPr>
          <w:sz w:val="22"/>
        </w:rPr>
        <w:t>Rate limiting: 5/min login, 5/min cambio de contraseña, 3/hora ARCO, 10/min logout.</w:t>
      </w:r>
    </w:p>
    <w:p>
      <w:pPr>
        <w:pStyle w:val="ListBullet"/>
        <w:spacing w:after="40"/>
        <w:ind w:left="340"/>
      </w:pPr>
      <w:r>
        <w:rPr>
          <w:b/>
          <w:sz w:val="22"/>
        </w:rPr>
        <w:t xml:space="preserve">CORS: </w:t>
      </w:r>
      <w:r>
        <w:rPr>
          <w:sz w:val="22"/>
        </w:rPr>
        <w:t>CORS estricto: regex 'https://.*\.vercel\.app' en producción.</w:t>
      </w:r>
    </w:p>
    <w:p>
      <w:pPr>
        <w:pStyle w:val="ListBullet"/>
        <w:spacing w:after="40"/>
        <w:ind w:left="340"/>
      </w:pPr>
      <w:r>
        <w:rPr>
          <w:b/>
          <w:sz w:val="22"/>
        </w:rPr>
        <w:t xml:space="preserve">Headers: </w:t>
      </w:r>
      <w:r>
        <w:rPr>
          <w:sz w:val="22"/>
        </w:rPr>
        <w:t>Headers expuestos para correcta interacción cross-origin.</w:t>
      </w:r>
    </w:p>
    <w:p>
      <w:pPr>
        <w:pStyle w:val="ListBullet"/>
        <w:spacing w:after="40"/>
        <w:ind w:left="340"/>
      </w:pPr>
      <w:r>
        <w:rPr>
          <w:b/>
          <w:sz w:val="22"/>
        </w:rPr>
        <w:t xml:space="preserve">Aislamiento: </w:t>
      </w:r>
      <w:r>
        <w:rPr>
          <w:sz w:val="22"/>
        </w:rPr>
        <w:t>Filtrado por empresa: ninguna consulta cruza empresas salvo superadmin.</w:t>
      </w:r>
    </w:p>
    <w:p>
      <w:pPr>
        <w:pStyle w:val="Heading1"/>
      </w:pPr>
      <w:r>
        <w:t>Apéndice A — Vacíos de información</w:t>
      </w:r>
    </w:p>
    <w:p>
      <w:r>
        <w:rPr>
          <w:i/>
          <w:sz w:val="22"/>
        </w:rPr>
        <w:t>Las siguientes preguntas quedan abiertas al equipo de producto o al Product Owner para ser resueltas en próximas iteraciones:</w:t>
      </w:r>
    </w:p>
    <w:p>
      <w:pPr>
        <w:pStyle w:val="ListBullet"/>
        <w:spacing w:after="40"/>
        <w:ind w:left="340"/>
      </w:pPr>
      <w:r>
        <w:rPr>
          <w:sz w:val="22"/>
        </w:rPr>
        <w:t>¿Migrar de BYTEA a S3/R2 para archivos adjuntos en V2?</w:t>
      </w:r>
    </w:p>
    <w:p>
      <w:pPr>
        <w:pStyle w:val="ListBullet"/>
        <w:spacing w:after="40"/>
        <w:ind w:left="340"/>
      </w:pPr>
      <w:r>
        <w:rPr>
          <w:sz w:val="22"/>
        </w:rPr>
        <w:t>¿Implementar un API gateway centralizado (Kong, Cloudflare Workers)?</w:t>
      </w:r>
    </w:p>
    <w:p>
      <w:pPr>
        <w:pStyle w:val="ListBullet"/>
        <w:spacing w:after="40"/>
        <w:ind w:left="340"/>
      </w:pPr>
      <w:r>
        <w:rPr>
          <w:sz w:val="22"/>
        </w:rPr>
        <w:t>¿Adoptar un service mesh o paso a microservicios si el equipo crece?</w:t>
      </w:r>
    </w:p>
    <w:p>
      <w:pPr>
        <w:pStyle w:val="ListBullet"/>
        <w:spacing w:after="40"/>
        <w:ind w:left="340"/>
      </w:pPr>
      <w:r>
        <w:rPr>
          <w:sz w:val="22"/>
        </w:rPr>
        <w:t>¿Documentar formalmente la arquitectura en ADR-### con plantilla MADR?</w:t>
      </w:r>
    </w:p>
    <w:p>
      <w:pPr>
        <w:pStyle w:val="Heading1"/>
      </w:pPr>
      <w:r>
        <w:t>Apéndice B — Riesgos identificados</w:t>
      </w:r>
    </w:p>
    <w:p>
      <w:r>
        <w:rPr>
          <w:i/>
          <w:sz w:val="22"/>
        </w:rPr>
        <w:t>Riesgos detectados durante la auditoría documental y técnica:</w:t>
      </w:r>
    </w:p>
    <w:p>
      <w:pPr>
        <w:spacing w:before="80" w:after="40"/>
      </w:pPr>
      <w:r>
        <w:rPr>
          <w:b/>
          <w:i/>
          <w:color w:val="1F497D"/>
          <w:sz w:val="18"/>
        </w:rPr>
        <w:t xml:space="preserve">Tabla 1 — </w:t>
      </w:r>
      <w:r>
        <w:rPr>
          <w:i/>
          <w:color w:val="404040"/>
          <w:sz w:val="18"/>
        </w:rPr>
        <w:t>Riesgos identificados durante la auditoría</w:t>
      </w:r>
    </w:p>
    <w:tbl>
      <w:tblPr>
        <w:tblStyle w:val="TableGrid"/>
        <w:tblW w:type="auto" w:w="0"/>
        <w:jc w:val="left"/>
        <w:tblLook w:firstColumn="1" w:firstRow="1" w:lastColumn="0" w:lastRow="0" w:noHBand="0" w:noVBand="1" w:val="04A0"/>
      </w:tblPr>
      <w:tblGrid>
        <w:gridCol w:w="3324"/>
        <w:gridCol w:w="3324"/>
        <w:gridCol w:w="3324"/>
      </w:tblGrid>
      <w:tr>
        <w:tc>
          <w:tcPr>
            <w:tcW w:type="dxa" w:w="1134"/>
            <w:shd w:val="clear" w:color="auto" w:fill="D9E2F3"/>
            <w:vAlign w:val="center"/>
          </w:tcPr>
          <w:p>
            <w:r/>
            <w:r>
              <w:rPr>
                <w:b/>
                <w:color w:val="1F497D"/>
                <w:sz w:val="20"/>
              </w:rPr>
              <w:t>ID</w:t>
            </w:r>
          </w:p>
        </w:tc>
        <w:tc>
          <w:tcPr>
            <w:tcW w:type="dxa" w:w="7370"/>
            <w:shd w:val="clear" w:color="auto" w:fill="D9E2F3"/>
            <w:vAlign w:val="center"/>
          </w:tcPr>
          <w:p>
            <w:r/>
            <w:r>
              <w:rPr>
                <w:b/>
                <w:color w:val="1F497D"/>
                <w:sz w:val="20"/>
              </w:rPr>
              <w:t>Descripción</w:t>
            </w:r>
          </w:p>
        </w:tc>
        <w:tc>
          <w:tcPr>
            <w:tcW w:type="dxa" w:w="1417"/>
            <w:shd w:val="clear" w:color="auto" w:fill="D9E2F3"/>
            <w:vAlign w:val="center"/>
          </w:tcPr>
          <w:p>
            <w:r/>
            <w:r>
              <w:rPr>
                <w:b/>
                <w:color w:val="1F497D"/>
                <w:sz w:val="20"/>
              </w:rPr>
              <w:t>Severidad</w:t>
            </w:r>
          </w:p>
        </w:tc>
      </w:tr>
      <w:tr>
        <w:tc>
          <w:tcPr>
            <w:tcW w:type="dxa" w:w="1134"/>
            <w:vAlign w:val="top"/>
          </w:tcPr>
          <w:p>
            <w:r/>
            <w:r>
              <w:rPr>
                <w:sz w:val="20"/>
              </w:rPr>
              <w:t>R-AR-01</w:t>
            </w:r>
          </w:p>
        </w:tc>
        <w:tc>
          <w:tcPr>
            <w:tcW w:type="dxa" w:w="7370"/>
            <w:vAlign w:val="top"/>
          </w:tcPr>
          <w:p>
            <w:r/>
            <w:r>
              <w:rPr>
                <w:sz w:val="20"/>
              </w:rPr>
              <w:t>La regex CORS 'https://.*\.vercel\.app' permite cualquier subdominio Vercel, incluyendo forks. Mitigación: revisar lista blanca explícita en V2.</w:t>
            </w:r>
          </w:p>
        </w:tc>
        <w:tc>
          <w:tcPr>
            <w:tcW w:type="dxa" w:w="1417"/>
            <w:vAlign w:val="top"/>
          </w:tcPr>
          <w:p>
            <w:r/>
            <w:r>
              <w:rPr>
                <w:sz w:val="20"/>
              </w:rPr>
              <w:t>Alto</w:t>
            </w:r>
          </w:p>
        </w:tc>
      </w:tr>
      <w:tr>
        <w:tc>
          <w:tcPr>
            <w:tcW w:type="dxa" w:w="1134"/>
            <w:vAlign w:val="top"/>
          </w:tcPr>
          <w:p>
            <w:r/>
            <w:r>
              <w:rPr>
                <w:sz w:val="20"/>
              </w:rPr>
              <w:t>R-AR-02</w:t>
            </w:r>
          </w:p>
        </w:tc>
        <w:tc>
          <w:tcPr>
            <w:tcW w:type="dxa" w:w="7370"/>
            <w:vAlign w:val="top"/>
          </w:tcPr>
          <w:p>
            <w:r/>
            <w:r>
              <w:rPr>
                <w:sz w:val="20"/>
              </w:rPr>
              <w:t>Serverless: cada request crea o reutiliza una función; en arranque en frío puede haber latencia de 1-2 s. Mitigación: configurar min-instances en Vercel Pro.</w:t>
            </w:r>
          </w:p>
        </w:tc>
        <w:tc>
          <w:tcPr>
            <w:tcW w:type="dxa" w:w="1417"/>
            <w:vAlign w:val="top"/>
          </w:tcPr>
          <w:p>
            <w:r/>
            <w:r>
              <w:rPr>
                <w:sz w:val="20"/>
              </w:rPr>
              <w:t>Medio</w:t>
            </w:r>
          </w:p>
        </w:tc>
      </w:tr>
      <w:tr>
        <w:tc>
          <w:tcPr>
            <w:tcW w:type="dxa" w:w="1134"/>
            <w:vAlign w:val="top"/>
          </w:tcPr>
          <w:p>
            <w:r/>
            <w:r>
              <w:rPr>
                <w:sz w:val="20"/>
              </w:rPr>
              <w:t>R-AR-03</w:t>
            </w:r>
          </w:p>
        </w:tc>
        <w:tc>
          <w:tcPr>
            <w:tcW w:type="dxa" w:w="7370"/>
            <w:vAlign w:val="top"/>
          </w:tcPr>
          <w:p>
            <w:r/>
            <w:r>
              <w:rPr>
                <w:sz w:val="20"/>
              </w:rPr>
              <w:t>Sin WAF (Web Application Firewall) dedicado: solo el rate limiting básico. Mitigación V2: integrar Cloudflare.</w:t>
            </w:r>
          </w:p>
        </w:tc>
        <w:tc>
          <w:tcPr>
            <w:tcW w:type="dxa" w:w="1417"/>
            <w:vAlign w:val="top"/>
          </w:tcPr>
          <w:p>
            <w:r/>
            <w:r>
              <w:rPr>
                <w:sz w:val="20"/>
              </w:rPr>
              <w:t>Medio</w:t>
            </w:r>
          </w:p>
        </w:tc>
      </w:tr>
    </w:tbl>
    <w:p>
      <w:pPr>
        <w:pStyle w:val="Heading1"/>
      </w:pPr>
      <w:r>
        <w:t>Apéndice C — Índice de identificadores</w:t>
      </w:r>
    </w:p>
    <w:p>
      <w:r>
        <w:rPr>
          <w:i/>
          <w:sz w:val="22"/>
        </w:rPr>
        <w:t>Identificadores únicos referenciados a lo largo del documento:</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2F3"/>
            <w:vAlign w:val="center"/>
          </w:tcPr>
          <w:p>
            <w:r/>
            <w:r>
              <w:rPr>
                <w:b/>
                <w:color w:val="1F497D"/>
                <w:sz w:val="20"/>
              </w:rPr>
              <w:t>ID</w:t>
            </w:r>
          </w:p>
        </w:tc>
        <w:tc>
          <w:tcPr>
            <w:tcW w:type="dxa" w:w="2835"/>
            <w:shd w:val="clear" w:color="auto" w:fill="D9E2F3"/>
            <w:vAlign w:val="center"/>
          </w:tcPr>
          <w:p>
            <w:r/>
            <w:r>
              <w:rPr>
                <w:b/>
                <w:color w:val="1F497D"/>
                <w:sz w:val="20"/>
              </w:rPr>
              <w:t>Nombre</w:t>
            </w:r>
          </w:p>
        </w:tc>
        <w:tc>
          <w:tcPr>
            <w:tcW w:type="dxa" w:w="5669"/>
            <w:shd w:val="clear" w:color="auto" w:fill="D9E2F3"/>
            <w:vAlign w:val="center"/>
          </w:tcPr>
          <w:p>
            <w:r/>
            <w:r>
              <w:rPr>
                <w:b/>
                <w:color w:val="1F497D"/>
                <w:sz w:val="20"/>
              </w:rPr>
              <w:t>Descripción</w:t>
            </w:r>
          </w:p>
        </w:tc>
      </w:tr>
      <w:tr>
        <w:tc>
          <w:tcPr>
            <w:tcW w:type="dxa" w:w="1417"/>
            <w:vAlign w:val="top"/>
          </w:tcPr>
          <w:p>
            <w:r/>
            <w:r>
              <w:rPr>
                <w:b/>
                <w:sz w:val="20"/>
              </w:rPr>
              <w:t>C4</w:t>
            </w:r>
          </w:p>
        </w:tc>
        <w:tc>
          <w:tcPr>
            <w:tcW w:type="dxa" w:w="2835"/>
            <w:vAlign w:val="top"/>
          </w:tcPr>
          <w:p>
            <w:r/>
            <w:r>
              <w:rPr>
                <w:sz w:val="20"/>
              </w:rPr>
              <w:t>Conjunto de modelos C4</w:t>
            </w:r>
          </w:p>
        </w:tc>
        <w:tc>
          <w:tcPr>
            <w:tcW w:type="dxa" w:w="5669"/>
            <w:vAlign w:val="top"/>
          </w:tcPr>
          <w:p>
            <w:r/>
            <w:r>
              <w:rPr>
                <w:sz w:val="20"/>
              </w:rPr>
              <w:t>Notación de diagramas de arquitectura creada por Simon Brown.</w:t>
            </w:r>
          </w:p>
        </w:tc>
      </w:tr>
      <w:tr>
        <w:tc>
          <w:tcPr>
            <w:tcW w:type="dxa" w:w="1417"/>
            <w:vAlign w:val="top"/>
          </w:tcPr>
          <w:p>
            <w:r/>
            <w:r>
              <w:rPr>
                <w:b/>
                <w:sz w:val="20"/>
              </w:rPr>
              <w:t>ADR</w:t>
            </w:r>
          </w:p>
        </w:tc>
        <w:tc>
          <w:tcPr>
            <w:tcW w:type="dxa" w:w="2835"/>
            <w:vAlign w:val="top"/>
          </w:tcPr>
          <w:p>
            <w:r/>
            <w:r>
              <w:rPr>
                <w:sz w:val="20"/>
              </w:rPr>
              <w:t>Architecture Decision Record</w:t>
            </w:r>
          </w:p>
        </w:tc>
        <w:tc>
          <w:tcPr>
            <w:tcW w:type="dxa" w:w="5669"/>
            <w:vAlign w:val="top"/>
          </w:tcPr>
          <w:p>
            <w:r/>
            <w:r>
              <w:rPr>
                <w:sz w:val="20"/>
              </w:rPr>
              <w:t>Documento que captura una decisión arquitectónica significativa.</w:t>
            </w:r>
          </w:p>
        </w:tc>
      </w:tr>
      <w:tr>
        <w:tc>
          <w:tcPr>
            <w:tcW w:type="dxa" w:w="1417"/>
            <w:vAlign w:val="top"/>
          </w:tcPr>
          <w:p>
            <w:r/>
            <w:r>
              <w:rPr>
                <w:b/>
                <w:sz w:val="20"/>
              </w:rPr>
              <w:t>ETL</w:t>
            </w:r>
          </w:p>
        </w:tc>
        <w:tc>
          <w:tcPr>
            <w:tcW w:type="dxa" w:w="2835"/>
            <w:vAlign w:val="top"/>
          </w:tcPr>
          <w:p>
            <w:r/>
            <w:r>
              <w:rPr>
                <w:sz w:val="20"/>
              </w:rPr>
              <w:t>Extract-Transform-Load</w:t>
            </w:r>
          </w:p>
        </w:tc>
        <w:tc>
          <w:tcPr>
            <w:tcW w:type="dxa" w:w="5669"/>
            <w:vAlign w:val="top"/>
          </w:tcPr>
          <w:p>
            <w:r/>
            <w:r>
              <w:rPr>
                <w:sz w:val="20"/>
              </w:rPr>
              <w:t>Proceso de extracción, transformación y carga de datos.</w:t>
            </w:r>
          </w:p>
        </w:tc>
      </w:tr>
      <w:tr>
        <w:tc>
          <w:tcPr>
            <w:tcW w:type="dxa" w:w="1417"/>
            <w:vAlign w:val="top"/>
          </w:tcPr>
          <w:p>
            <w:r/>
            <w:r>
              <w:rPr>
                <w:b/>
                <w:sz w:val="20"/>
              </w:rPr>
              <w:t>JWT</w:t>
            </w:r>
          </w:p>
        </w:tc>
        <w:tc>
          <w:tcPr>
            <w:tcW w:type="dxa" w:w="2835"/>
            <w:vAlign w:val="top"/>
          </w:tcPr>
          <w:p>
            <w:r/>
            <w:r>
              <w:rPr>
                <w:sz w:val="20"/>
              </w:rPr>
              <w:t>JSON Web Token</w:t>
            </w:r>
          </w:p>
        </w:tc>
        <w:tc>
          <w:tcPr>
            <w:tcW w:type="dxa" w:w="5669"/>
            <w:vAlign w:val="top"/>
          </w:tcPr>
          <w:p>
            <w:r/>
            <w:r>
              <w:rPr>
                <w:sz w:val="20"/>
              </w:rPr>
              <w:t>Token de autenticación firmado digitalmente.</w:t>
            </w:r>
          </w:p>
        </w:tc>
      </w:tr>
    </w:tbl>
    <w:p/>
    <w:p>
      <w:pPr>
        <w:jc w:val="center"/>
      </w:pPr>
      <w:r>
        <w:rPr>
          <w:i/>
          <w:color w:val="808080"/>
          <w:sz w:val="20"/>
        </w:rPr>
        <w:t>—  Fin del documento  —</w:t>
      </w:r>
    </w:p>
    <w:sectPr w:rsidR="00FC693F" w:rsidRPr="0006063C" w:rsidSect="00034616">
      <w:headerReference w:type="default" r:id="rId9"/>
      <w:footerReference w:type="default" r:id="rId10"/>
      <w:pgSz w:w="12240" w:h="15840"/>
      <w:pgMar w:top="1417" w:right="1134" w:bottom="141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tbl>
    <w:tblPr>
      <w:tblW w:type="auto" w:w="0"/>
      <w:tblLayout w:type="fixed"/>
      <w:tblLook w:firstColumn="1" w:firstRow="1" w:lastColumn="0" w:lastRow="0" w:noHBand="0" w:noVBand="1" w:val="04A0"/>
    </w:tblPr>
    <w:tblGrid>
      <w:gridCol w:w="3402"/>
      <w:gridCol w:w="3169"/>
      <w:gridCol w:w="3402"/>
    </w:tblGrid>
    <w:tr>
      <w:tc>
        <w:tcPr>
          <w:tcW w:type="dxa" w:w="3402"/>
        </w:tcPr>
        <w:p>
          <w:pPr>
            <w:jc w:val="left"/>
          </w:pPr>
          <w:r>
            <w:rPr>
              <w:color w:val="808080"/>
              <w:sz w:val="16"/>
            </w:rPr>
            <w:t>Custodio RAT Manager · Ley 21.719</w:t>
          </w:r>
        </w:p>
      </w:tc>
      <w:tc>
        <w:tcPr>
          <w:tcW w:type="dxa" w:w="3169"/>
        </w:tcPr>
        <w:p>
          <w:pPr>
            <w:jc w:val="center"/>
          </w:pPr>
          <w:r>
            <w:rPr>
              <w:color w:val="808080"/>
              <w:sz w:val="16"/>
            </w:rPr>
            <w:t xml:space="preserve">Página </w:t>
          </w:r>
          <w:r>
            <w:rPr>
              <w:color w:val="808080"/>
              <w:sz w:val="16"/>
            </w:rPr>
            <w:fldChar w:fldCharType="begin"/>
            <w:instrText xml:space="preserve">PAGE</w:instrText>
            <w:fldChar w:fldCharType="separate"/>
            <w:fldChar w:fldCharType="end"/>
          </w:r>
          <w:r>
            <w:rPr>
              <w:color w:val="808080"/>
              <w:sz w:val="16"/>
            </w:rPr>
            <w:t xml:space="preserve"> de </w:t>
          </w:r>
          <w:r>
            <w:rPr>
              <w:color w:val="808080"/>
              <w:sz w:val="16"/>
            </w:rPr>
            <w:fldChar w:fldCharType="begin"/>
            <w:instrText xml:space="preserve">NUMPAGES</w:instrText>
            <w:fldChar w:fldCharType="separate"/>
            <w:fldChar w:fldCharType="end"/>
          </w:r>
        </w:p>
      </w:tc>
      <w:tc>
        <w:tcPr>
          <w:tcW w:type="dxa" w:w="3402"/>
        </w:tcPr>
        <w:p>
          <w:pPr>
            <w:jc w:val="right"/>
          </w:pPr>
          <w:r>
            <w:rPr>
              <w:color w:val="808080"/>
              <w:sz w:val="16"/>
            </w:rPr>
            <w:t>Interno — Confidencial  ·  Arquitectura de Software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5669"/>
      <w:gridCol w:w="4303"/>
    </w:tblGrid>
    <w:tr>
      <w:tc>
        <w:tcPr>
          <w:tcW w:type="dxa" w:w="5669"/>
        </w:tcPr>
        <w:p>
          <w:pPr>
            <w:jc w:val="left"/>
            <w:pBdr>
              <w:bottom w:val="single" w:sz="6" w:space="1" w:color="1F497D"/>
            </w:pBdr>
          </w:pPr>
          <w:r>
            <w:rPr>
              <w:b/>
              <w:color w:val="1F497D"/>
              <w:sz w:val="18"/>
            </w:rPr>
            <w:t xml:space="preserve">▣  CUSTODIO  </w:t>
          </w:r>
          <w:r>
            <w:rPr>
              <w:color w:val="404040"/>
              <w:sz w:val="18"/>
            </w:rPr>
            <w:t>·  Arquitectura de Software</w:t>
          </w:r>
        </w:p>
      </w:tc>
      <w:tc>
        <w:tcPr>
          <w:tcW w:type="dxa" w:w="4303"/>
        </w:tcPr>
        <w:p>
          <w:pPr>
            <w:jc w:val="right"/>
          </w:pPr>
          <w:r>
            <w:rPr>
              <w:color w:val="808080"/>
              <w:sz w:val="18"/>
            </w:rPr>
            <w:t>v1.0  ·  Junio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