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Gap G1 cerrado: Sprint 2 export endpoints + enqueue-sla-alerts.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_PATCH /tkt-solicitud-derecho/{id} con hash SHA-256 auto + validación evidencia. causal_rechazo como CausalRechazoEnum (7 valores)._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 en handleSave. Homologación orden campos RAT. PDF con títulos de sección._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la API REST de Custodio RAT Manager. Todos los endpoints requieren Bearer JWT (cookie httpOnly). Rbac: superadmin &gt; admin_empresa &gt; usuario.</w:t>
      </w:r>
    </w:p>
    <w:p>
      <w:pPr>
        <w:pStyle w:val="Heading1"/>
      </w:pPr>
      <w:r>
        <w:t>2. Cambios en v1.10 — Endpoints relevantes</w:t>
      </w:r>
    </w:p>
    <w:p>
      <w:pPr>
        <w:pStyle w:val="Heading2"/>
      </w:pPr>
      <w:r>
        <w:t>2.1 Módulo TKT — Cambios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estado, respuesta_texto, causal_rechazo*, prioridad, responsable_id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TktTicketResponse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TKT-ARCO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*causal_rechazo: enum cerrado (CausalRechazoEnum) con 7 valores: falta_identidad, solicitud_manifiestamente_infundada, solicitud_excesiva, falta_poder_notorial, plazo_vencido, identidad_no_verificada, otro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*HTTP 400 si estado=resuelto sin adjuntos ni respuesta_texto (evidencia obligatoria)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*SHA-256 computado automáticamente de tkt_adjuntos al resolver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3. Cambios en v1.10 — IDOR multi-tenant y homologación</w:t>
      </w:r>
    </w:p>
    <w:p>
      <w:pPr>
        <w:pStyle w:val="Heading2"/>
      </w:pPr>
      <w:r>
        <w:t>3.1 Módulo RAT — IDOR multi-tenant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RatUpdate schema completo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204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 schema completo (25 campos)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list[AuditLogResponse]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*get_rat_for_user() retorna 404 (no 403) para no filtrar existencia de RATs ajenos. Superadmin accede a todos los RATs.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*base_legal_valida: enum strict (6 opciones). ConsentimientoAlert: listarConsentimientos() si datos_sensibles=True.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TKT-###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Tag TKT-ARCO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Endpoints del módulo de ticketing ARCO.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