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08 — API REST</w:t>
      </w:r>
    </w:p>
    <w:p>
      <w:pPr>
        <w:jc w:val="center"/>
      </w:pPr>
      <w:r>
        <w:t>Referencia completa de endpoints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describe todos los endpoints de la API REST de Custodio RAT Manager conforme a la Ley 21.719 de Chile. La API sigue el esquema /api/v1/ (canónico) manteniendo compatibilidad legacy. Versión v1.12 incluye el endpoint de verificación de titular repetido (Público-QW5) y correcciones de nomenclatura APDP.</w:t>
      </w:r>
    </w:p>
    <w:p>
      <w:pPr>
        <w:pStyle w:val="Heading1"/>
      </w:pPr>
      <w:r>
        <w:t>2. Endpoints Públicos (sin autenticación)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RBAC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/publico/empresas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list[EmpresaPublica]</w:t>
            </w:r>
          </w:p>
        </w:tc>
        <w:tc>
          <w:tcPr>
            <w:tcW w:type="dxa" w:w="1234"/>
          </w:tcPr>
          <w:p>
            <w:r>
              <w:t>Lista empresas activas (id+nombre) para el formulario ARCO.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/publico/csrf-token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CsrfTokenResponse</w:t>
            </w:r>
          </w:p>
        </w:tc>
        <w:tc>
          <w:tcPr>
            <w:tcW w:type="dxa" w:w="1234"/>
          </w:tcPr>
          <w:p>
            <w:r>
              <w:t>Token HMAC-SHA256 para proteger formulario público (30/min).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/publico/verificar-titular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company_id, email</w:t>
            </w:r>
          </w:p>
        </w:tc>
        <w:tc>
          <w:tcPr>
            <w:tcW w:type="dxa" w:w="1234"/>
          </w:tcPr>
          <w:p>
            <w:r>
              <w:t>200 {tiene_tickets_abiertos, cantidad}</w:t>
            </w:r>
          </w:p>
        </w:tc>
        <w:tc>
          <w:tcPr>
            <w:tcW w:type="dxa" w:w="1234"/>
          </w:tcPr>
          <w:p>
            <w:r>
              <w:t>Verifica si email ya tiene tickets abiertos. Rate 20/min. (QW5)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/publico/ejercer-derechos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EjercerDerechosRequest</w:t>
            </w:r>
          </w:p>
        </w:tc>
        <w:tc>
          <w:tcPr>
            <w:tcW w:type="dxa" w:w="1234"/>
          </w:tcPr>
          <w:p>
            <w:r>
              <w:t>201 {tracking_token, mensaje}</w:t>
            </w:r>
          </w:p>
        </w:tc>
        <w:tc>
          <w:tcPr>
            <w:tcW w:type="dxa" w:w="1234"/>
          </w:tcPr>
          <w:p>
            <w:r>
              <w:t>Crea solicitud ARCO pública (10/hora por IP). Acuse email automático.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/seguimiento/{token}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token (path)</w:t>
            </w:r>
          </w:p>
        </w:tc>
        <w:tc>
          <w:tcPr>
            <w:tcW w:type="dxa" w:w="1234"/>
          </w:tcPr>
          <w:p>
            <w:r>
              <w:t>200 SeguimientoOut</w:t>
            </w:r>
          </w:p>
        </w:tc>
        <w:tc>
          <w:tcPr>
            <w:tcW w:type="dxa" w:w="1234"/>
          </w:tcPr>
          <w:p>
            <w:r>
              <w:t>Consulta pública de estado de ticket por tracking token.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/publico/transparencia/{id}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company_id (path)</w:t>
            </w:r>
          </w:p>
        </w:tc>
        <w:tc>
          <w:tcPr>
            <w:tcW w:type="dxa" w:w="1234"/>
          </w:tcPr>
          <w:p>
            <w:r>
              <w:t>200 PoliticaTransparenciaOut</w:t>
            </w:r>
          </w:p>
        </w:tc>
        <w:tc>
          <w:tcPr>
            <w:tcW w:type="dxa" w:w="1234"/>
          </w:tcPr>
          <w:p>
            <w:r>
              <w:t>Política de transparencia pública (Art. 14 ter). Cache recomendado.</w:t>
            </w:r>
          </w:p>
        </w:tc>
      </w:tr>
    </w:tbl>
    <w:p>
      <w:pPr>
        <w:pStyle w:val="Heading1"/>
      </w:pPr>
      <w:r>
        <w:t>3.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RBAC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/auth/login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username, password</w:t>
            </w:r>
          </w:p>
        </w:tc>
        <w:tc>
          <w:tcPr>
            <w:tcW w:type="dxa" w:w="1234"/>
          </w:tcPr>
          <w:p>
            <w:r>
              <w:t>200 {access_token}</w:t>
            </w:r>
          </w:p>
        </w:tc>
        <w:tc>
          <w:tcPr>
            <w:tcW w:type="dxa" w:w="1234"/>
          </w:tcPr>
          <w:p>
            <w:r>
              <w:t>Login JWT. Access token (8h) + refresh cookie httpOnly (30d).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/auth/refresh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cookie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{access_token}</w:t>
            </w:r>
          </w:p>
        </w:tc>
        <w:tc>
          <w:tcPr>
            <w:tcW w:type="dxa" w:w="1234"/>
          </w:tcPr>
          <w:p>
            <w:r>
              <w:t>Renovar access token usando refresh cookie.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/auth/logout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cualquier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Revocar access + refresh tokens.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/auth/me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cualquier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UserOut</w:t>
            </w:r>
          </w:p>
        </w:tc>
        <w:tc>
          <w:tcPr>
            <w:tcW w:type="dxa" w:w="1234"/>
          </w:tcPr>
          <w:p>
            <w:r>
              <w:t>Usuario autenticado actual.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/auth/users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superadmin</w:t>
            </w:r>
          </w:p>
        </w:tc>
        <w:tc>
          <w:tcPr>
            <w:tcW w:type="dxa" w:w="1234"/>
          </w:tcPr>
          <w:p>
            <w:r>
              <w:t>UserCreate</w:t>
            </w:r>
          </w:p>
        </w:tc>
        <w:tc>
          <w:tcPr>
            <w:tcW w:type="dxa" w:w="1234"/>
          </w:tcPr>
          <w:p>
            <w:r>
              <w:t>201 UserOut</w:t>
            </w:r>
          </w:p>
        </w:tc>
        <w:tc>
          <w:tcPr>
            <w:tcW w:type="dxa" w:w="1234"/>
          </w:tcPr>
          <w:p>
            <w:r>
              <w:t>Crear usuario (superadmin only).</w:t>
            </w:r>
          </w:p>
        </w:tc>
      </w:tr>
    </w:tbl>
    <w:p>
      <w:pPr>
        <w:pStyle w:val="Heading1"/>
      </w:pPr>
      <w:r>
        <w:t>4. ARCO — Solicitudes de Derecho</w:t>
      </w:r>
    </w:p>
    <w:p>
      <w:r>
        <w:t>Tabla canónica: tkt_solicitud_derecho. La tabla legacy solicitudes_derecho fue eliminada en jul-2026.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RBAC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1234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/tkt-solicitud-derecho/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admin_empresa+</w:t>
            </w:r>
          </w:p>
        </w:tc>
        <w:tc>
          <w:tcPr>
            <w:tcW w:type="dxa" w:w="1234"/>
          </w:tcPr>
          <w:p>
            <w:r>
              <w:t>filtros</w:t>
            </w:r>
          </w:p>
        </w:tc>
        <w:tc>
          <w:tcPr>
            <w:tcW w:type="dxa" w:w="1234"/>
          </w:tcPr>
          <w:p>
            <w:r>
              <w:t>200 TktListResponse</w:t>
            </w:r>
          </w:p>
        </w:tc>
        <w:tc>
          <w:tcPr>
            <w:tcW w:type="dxa" w:w="1234"/>
          </w:tcPr>
          <w:p>
            <w:r>
              <w:t>Listar tickets ARCO con filtros.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TktCreate</w:t>
            </w:r>
          </w:p>
        </w:tc>
        <w:tc>
          <w:tcPr>
            <w:tcW w:type="dxa" w:w="1234"/>
          </w:tcPr>
          <w:p>
            <w:r>
              <w:t>201 TktOut</w:t>
            </w:r>
          </w:p>
        </w:tc>
        <w:tc>
          <w:tcPr>
            <w:tcW w:type="dxa" w:w="1234"/>
          </w:tcPr>
          <w:p>
            <w:r>
              <w:t>Crear ticket ARCO. Envía acuse de recibo al titular (ARCO-QW6).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/tkt-solicitud-derecho/{id}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cualquier</w:t>
            </w:r>
          </w:p>
        </w:tc>
        <w:tc>
          <w:tcPr>
            <w:tcW w:type="dxa" w:w="1234"/>
          </w:tcPr>
          <w:p>
            <w:r>
              <w:t>id (path)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Detalle de ticket.</w:t>
            </w:r>
          </w:p>
        </w:tc>
      </w:tr>
      <w:tr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/tkt-solicitud-derecho/{id}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TktUpdate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Actualizar ticket. Requiere metodo_verificacion_identidad al resolver.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/tkt-solicitud-derecho/{id}/rechazar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causal_rechazo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Rechazar con causal (enum). Email al titular.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/tkt-solicitud-derecho/{id}/prorrogar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+10 días hábiles (Art. 12 bis). Una vez por ticket.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/tkt-solicitud-derecho/{id}/bloquear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plazo_bloqueo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Bloquear RAT (Art. 8 ter).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/tkt-solicitud-derecho/{id}/subsanar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detalle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Solicitar subsanación al titular.</w:t>
            </w:r>
          </w:p>
        </w:tc>
      </w:tr>
      <w:tr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/tkt-solicitud-derecho/{id}/completar-subsanacion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TktOut</w:t>
            </w:r>
          </w:p>
        </w:tc>
        <w:tc>
          <w:tcPr>
            <w:tcW w:type="dxa" w:w="1234"/>
          </w:tcPr>
          <w:p>
            <w:r>
              <w:t>Cerrar subsanación.</w:t>
            </w:r>
          </w:p>
        </w:tc>
      </w:tr>
      <w:tr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/tkt-solicitud-derecho/{id}/portabilidad/export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editor+</w:t>
            </w:r>
          </w:p>
        </w:tc>
        <w:tc>
          <w:tcPr>
            <w:tcW w:type="dxa" w:w="1234"/>
          </w:tcPr>
          <w:p>
            <w:r>
              <w:t>id (path)</w:t>
            </w:r>
          </w:p>
        </w:tc>
        <w:tc>
          <w:tcPr>
            <w:tcW w:type="dxa" w:w="1234"/>
          </w:tcPr>
          <w:p>
            <w:r>
              <w:t>200 JSON</w:t>
            </w:r>
          </w:p>
        </w:tc>
        <w:tc>
          <w:tcPr>
            <w:tcW w:type="dxa" w:w="1234"/>
          </w:tcPr>
          <w:p>
            <w:r>
              <w:t>Exportar datos portabilidad (Art. 9).</w:t>
            </w:r>
          </w:p>
        </w:tc>
      </w:tr>
    </w:tbl>
    <w:p>
      <w:pPr>
        <w:pStyle w:val="Heading1"/>
      </w:pPr>
      <w:r>
        <w:t>5. Cambios en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Endpoint / Cambio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 /publico/verificar-titular</w:t>
            </w:r>
          </w:p>
        </w:tc>
        <w:tc>
          <w:tcPr>
            <w:tcW w:type="dxa" w:w="2880"/>
          </w:tcPr>
          <w:p>
            <w:r>
              <w:t>NUEVO</w:t>
            </w:r>
          </w:p>
        </w:tc>
        <w:tc>
          <w:tcPr>
            <w:tcW w:type="dxa" w:w="2880"/>
          </w:tcPr>
          <w:p>
            <w:r>
              <w:t>QW5: detecta titular con tickets abiertos. Rate 20/min.</w:t>
            </w:r>
          </w:p>
        </w:tc>
      </w:tr>
      <w:tr>
        <w:tc>
          <w:tcPr>
            <w:tcW w:type="dxa" w:w="2880"/>
          </w:tcPr>
          <w:p>
            <w:r>
              <w:t>POST /tkt-solicitud-derecho/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ARCO-QW6: envía acuse de recibo email al crear ticket.</w:t>
            </w:r>
          </w:p>
        </w:tc>
      </w:tr>
      <w:tr>
        <w:tc>
          <w:tcPr>
            <w:tcW w:type="dxa" w:w="2880"/>
          </w:tcPr>
          <w:p>
            <w:r>
              <w:t>Nomenclatura APDP</w:t>
            </w:r>
          </w:p>
        </w:tc>
        <w:tc>
          <w:tcPr>
            <w:tcW w:type="dxa" w:w="2880"/>
          </w:tcPr>
          <w:p>
            <w:r>
              <w:t>CORREGIDO</w:t>
            </w:r>
          </w:p>
        </w:tc>
        <w:tc>
          <w:tcPr>
            <w:tcW w:type="dxa" w:w="2880"/>
          </w:tcPr>
          <w:p>
            <w:r>
              <w:t>APDC → APDP en todo el código, tests y documentación.</w:t>
            </w:r>
          </w:p>
        </w:tc>
      </w:tr>
      <w:tr>
        <w:tc>
          <w:tcPr>
            <w:tcW w:type="dxa" w:w="2880"/>
          </w:tcPr>
          <w:p>
            <w:r>
              <w:t>CI/CD pip-audit</w:t>
            </w:r>
          </w:p>
        </w:tc>
        <w:tc>
          <w:tcPr>
            <w:tcW w:type="dxa" w:w="2880"/>
          </w:tcPr>
          <w:p>
            <w:r>
              <w:t>NUEVO</w:t>
            </w:r>
          </w:p>
        </w:tc>
        <w:tc>
          <w:tcPr>
            <w:tcW w:type="dxa" w:w="2880"/>
          </w:tcPr>
          <w:p>
            <w:r>
              <w:t>Escaneo CVE en dependencias Python. Bloquea CRITICAL, advierte HIGH.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