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OCI Object Storage con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(DT-SEC-01), Encryption at Rest (DT-SEC-02), Service Layer (DT-ARC-01)._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(DT-UX-01), Drawer responsive (DT-UX-02), Dashboard clickable (DT-UX-03), IDOR fix (DT-UX-04)._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QW1-QW10. Sprint 2: SLA Alert T-2d +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11+12: 9 fixes CRITICOS+ALTOS cerrados (DT-ITER12-01 a DT-ITER12-09). Score: 6.3/10. QW-ITER13: paginación, retry OCI, audit_log table._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_Total: 49 items. Estado al 26-Jun-2026: 41 completados, 3 en desarrollo, 5 pendientes. Prioridad: Critical (P0) &gt; High (P1) &gt; Medium (P2) &gt; Low (P3)._</w:t>
      </w:r>
    </w:p>
    <w:p>
      <w:pPr>
        <w:pStyle w:val="Heading1"/>
      </w:pPr>
      <w:r>
        <w:t>2. Items cerrados en v1.6.5 (Iter 11 + Iter 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BYTEA 10MB limit en rats.archivo_base_legal_datos y tkt_adjuntos.data (CHECK constraint PostgreSQL)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LargeBinary(10_000_000) + migration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Test IL mínimo 50 caracteres: Pydantic Field(min_length=50) + RatWizard + RatEditForm validación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schemas/rat.py, RatWizard.tsx, RatEditForm.tsx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computa de tkt_adjuntos al resolver TKT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causal_rechazo enum cerrado (7 causales Art. 29 RL) + dropdown TicketDrawer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schemas/tkt_solicitud_derecho.py, TicketDrawer.tsx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 (mobile accessibility WCAG 2.1)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solicitud_derecho/page.tsx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automatizada: actualizar_brecha() loggea cuando notificado_titulares=true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evidencia: HTTP 400 si estado=resuelto sin adjuntos/hash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15 campos Tier 1+Tier 2 RAT (datos_nna, nivel_confidencialidad, etc.)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models/rat.py, schemas/rat.py, migrations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3. Items pendientes (QW-ITER13)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Esfuerzo estimado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QW-ITER13-01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Paginación en listados &gt;100 registros (RAT/ARCO/Brechas)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Alto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QW-ITER13-02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Retry logic en OCI uploads (resilience)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QW-ITER13-03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Logs de auditoría en tabla audit_log (Art. 28 Ley 21.719)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