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4"/>
        </w:rPr>
        <w:t xml:space="preserve">  ▣  CUSTODIO  ·  CUSTODIO RAT MANAGER  </w:t>
      </w:r>
    </w:p>
    <w:p>
      <w:pPr>
        <w:spacing w:before="720" w:after="120"/>
        <w:jc w:val="center"/>
      </w:pPr>
      <w:r>
        <w:rPr>
          <w:i/>
          <w:color w:val="808080"/>
          <w:sz w:val="22"/>
        </w:rPr>
        <w:t>CUST-DOC-09</w:t>
      </w:r>
    </w:p>
    <w:p/>
    <w:p/>
    <w:p>
      <w:pPr>
        <w:spacing w:after="240"/>
        <w:jc w:val="center"/>
      </w:pPr>
      <w:r>
        <w:rPr>
          <w:b/>
          <w:color w:val="1F497D"/>
          <w:sz w:val="56"/>
        </w:rPr>
        <w:t>BACKLOG DE PRODUCTO</w:t>
      </w:r>
    </w:p>
    <w:p>
      <w:pPr>
        <w:spacing w:after="480"/>
        <w:jc w:val="center"/>
      </w:pPr>
      <w:r>
        <w:rPr>
          <w:i/>
          <w:color w:val="2E74B5"/>
          <w:sz w:val="28"/>
        </w:rPr>
        <w:t>User Stories, Features y Bugs · Priorización OLA-1 a OLA-3</w:t>
      </w:r>
    </w:p>
    <w:p/>
    <w:p/>
    <w:p>
      <w:pPr>
        <w:jc w:val="center"/>
        <w:pBdr>
          <w:bottom w:val="single" w:sz="12" w:space="1" w:color="2E74B5"/>
        </w:pBdr>
      </w:pPr>
      <w:r>
        <w:rPr>
          <w:sz w:val="4"/>
        </w:rPr>
        <w:t xml:space="preserve">  </w:t>
      </w:r>
    </w:p>
    <w:p/>
    <w:p/>
    <w:p>
      <w:pPr>
        <w:spacing w:after="40"/>
        <w:jc w:val="center"/>
      </w:pPr>
      <w:r>
        <w:rPr>
          <w:b/>
          <w:color w:val="1F497D"/>
          <w:sz w:val="22"/>
        </w:rPr>
        <w:t xml:space="preserve">Versión:  </w:t>
      </w:r>
      <w:r>
        <w:rPr>
          <w:color w:val="404040"/>
          <w:sz w:val="22"/>
        </w:rPr>
        <w:t>v1.6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Fecha de emisión:  </w:t>
      </w:r>
      <w:r>
        <w:rPr>
          <w:color w:val="404040"/>
          <w:sz w:val="22"/>
        </w:rPr>
        <w:t>Junio 2026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Autor:  </w:t>
      </w:r>
      <w:r>
        <w:rPr>
          <w:color w:val="404040"/>
          <w:sz w:val="22"/>
        </w:rPr>
        <w:t>Equipo de Desarrollo — Custodio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Empresa responsable:  </w:t>
      </w:r>
      <w:r>
        <w:rPr>
          <w:color w:val="404040"/>
          <w:sz w:val="22"/>
        </w:rPr>
        <w:t>Custodio SpA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Clasificación:  </w:t>
      </w:r>
      <w:r>
        <w:rPr>
          <w:color w:val="404040"/>
          <w:sz w:val="22"/>
        </w:rPr>
        <w:t>Interno — Confidencial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Producto:  </w:t>
      </w:r>
      <w:r>
        <w:rPr>
          <w:color w:val="404040"/>
          <w:sz w:val="22"/>
        </w:rPr>
        <w:t>Custodio RAT Manager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Marco regulatorio:  </w:t>
      </w:r>
      <w:r>
        <w:rPr>
          <w:color w:val="404040"/>
          <w:sz w:val="22"/>
        </w:rPr>
        <w:t>Ley N.° 21.719 — Chile</w:t>
      </w:r>
    </w:p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0"/>
        </w:rPr>
        <w:t xml:space="preserve">  CUMPLIMIENTO DE LA LEY 21.719 DE PROTECCIÓN DE DATOS PERSONALES DE CHILE  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F497D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417"/>
            <w:shd w:val="clear" w:color="auto" w:fill="1F497D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701"/>
            <w:shd w:val="clear" w:color="auto" w:fill="1F497D"/>
          </w:tcPr>
          <w:p>
            <w:r/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6004"/>
            <w:shd w:val="clear" w:color="auto" w:fill="1F497D"/>
          </w:tcPr>
          <w:p>
            <w:r/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Backlog inicial con 20 items priorizados para OLA-1.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Agregados 8 features de compliance: Token blacklist, hash chain, IDOR, CSRF, encryption.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Items de auditoría v1.2: brecha CSV injection, public company IDOR, rate limits, PII masking.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_Beta Launch: cerrados P0 de auditoría, nuevos items DT-014/DT-015/DT-016, pendientes CSRF/encryption._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_Post-OCI: OCI Object Storage con fallback chain, Admin Asesor IA._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_Seguridad: CSRF (DT-SEC-01), Encryption at Rest (DT-SEC-02), Service Layer (DT-ARC-01)._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  <w:u w:val="single"/>
              </w:rPr>
              <w:t>_UI/UX: RatDetailModal (DT-UX-01), Drawer responsive (DT-UX-02), Dashboard clickable (DT-UX-03), IDOR fix (DT-UX-04)._</w:t>
            </w:r>
          </w:p>
        </w:tc>
      </w:tr>
    </w:tbl>
    <w:p/>
    <w:p>
      <w:pPr>
        <w:pStyle w:val="Heading2"/>
      </w:pPr>
      <w:r>
        <w:t>Estado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86"/>
            <w:shd w:val="clear" w:color="auto" w:fill="1F497D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Backlog de Producto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Custodio RAT Manager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Marco regulatorio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Ley N.° 21.719 de Protección de Datos Personales (Chile)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18"/>
        </w:rPr>
        <w:t>Sugerencia: en Microsoft Word, presione F9 sobre la tabla para actualizar el contenido y los números de página.</w:t>
      </w:r>
    </w:p>
    <w:p>
      <w:r>
        <w:br w:type="page"/>
      </w:r>
    </w:p>
    <w:p>
      <w:pPr>
        <w:pStyle w:val="Heading1"/>
      </w:pPr>
      <w:r>
        <w:t>1. Vista general del backlog</w:t>
      </w:r>
    </w:p>
    <w:p>
      <w:r>
        <w:rPr>
          <w:sz w:val="22"/>
        </w:rPr>
        <w:t>Total: 40 items. Estado al 12-Jun-2026: 32 completados, 2 en desarrollo, 6 pendientes. Prioridad: Critical (P0) &gt; High (P1) &gt; Medium (P2) &gt; Low (P3). Ciclo de sprint: 2 semanas.</w:t>
      </w:r>
    </w:p>
    <w:p>
      <w:r>
        <w:rPr>
          <w:sz w:val="22"/>
        </w:rPr>
        <w:t>_Items nuevos en v1.4 (post-OCI integration):_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Tipo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Título</w:t>
            </w:r>
          </w:p>
        </w:tc>
        <w:tc>
          <w:tcPr>
            <w:tcW w:type="dxa" w:w="2268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Commit · Archivo</w:t>
            </w:r>
          </w:p>
        </w:tc>
        <w:tc>
          <w:tcPr>
            <w:tcW w:type="dxa" w:w="96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DT-OCI-01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sz w:val="20"/>
              </w:rPr>
              <w:t>OCI Object Storage con fallback chain (PAR → signed GET → BYTEA)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20"/>
              </w:rPr>
              <w:t>57cbffc · storage.py, rat_service.py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DT-OCI-02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850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sz w:val="20"/>
              </w:rPr>
              <w:t>Admin Asesor IA (indexar, stats, eliminar chunks)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20"/>
              </w:rPr>
              <w:t>admin_asesor.py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</w:tbl>
    <w:p>
      <w:pPr>
        <w:pStyle w:val="Heading1"/>
      </w:pPr>
      <w:r>
        <w:t>2. User Stories por módulo</w:t>
      </w:r>
    </w:p>
    <w:p>
      <w:pPr>
        <w:pStyle w:val="Heading2"/>
      </w:pPr>
      <w:r>
        <w:t>2.1 Módulo 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38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96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Cobertura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US-AUTH-01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administrador, quiero gestionar usuarios completamente para mantener el sistema actualizado.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US-AUTH-02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usuario, quiero cambiar mi password de forma segura.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US-AUTH-03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_Como usuario, quiero que mi token sea revocado automáticamente al hacer logout (blacklist LRU)._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v1.2</w:t>
            </w:r>
          </w:p>
        </w:tc>
      </w:tr>
    </w:tbl>
    <w:p>
      <w:pPr>
        <w:pStyle w:val="Heading2"/>
      </w:pPr>
      <w:r>
        <w:t>2.2 Módulo RATs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38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96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Cobertura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US-RAT-01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admin, quiero crear y editar RATs con campos completos.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US-RAT-02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usuario, quiero ver la lista de RATs de mi empresa.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US-RAT-03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admin, quiero exportar RATs a CSV y PDF.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US-RAT-04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admin_empresa, solo quiero crear RATs en empresas que gestiono (DT-014).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v1.3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US-RAT-05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usuario, quiero dar consentimiento expreso para cada RAT.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90%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En progreso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US-RAT-06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admin, quiero registrar revisiones periódicas de mis RATs.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US-RAT-07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usuario, quiero descargar el documento de base legal de un RAT con fallback automático.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v1.4</w:t>
            </w:r>
          </w:p>
        </w:tc>
      </w:tr>
    </w:tbl>
    <w:p>
      <w:pPr>
        <w:pStyle w:val="Heading2"/>
      </w:pPr>
      <w:r>
        <w:t>2.3 Módulo Brechas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38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96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Cobertura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US-BRCH-01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admin, quiero registrar brechas de seguridad con evaluación de riesgo.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US-BRCH-02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admin, quiero recibir alertas de vencimiento de brechas.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80%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En progreso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US-BRCH-03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rol usuario, NO quiero poder crear brechas (DT-015).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v1.3</w:t>
            </w:r>
          </w:p>
        </w:tc>
      </w:tr>
    </w:tbl>
    <w:p>
      <w:pPr>
        <w:pStyle w:val="Heading2"/>
      </w:pPr>
      <w:r>
        <w:t>2.4 Consentimientos y EIPD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38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96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Cobertura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US-CONS-01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responsable, quiero registrar consentimientos expresos (Art. 12).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v1.3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US-CONS-02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responsable, quiero poder revocar consentimientos.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v1.3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US-EIPD-01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responsable, quiero crear y gestionar EIPDs (Art. 15 bis).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v1.3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US-EIPD-02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  <w:u w:val="single"/>
              </w:rPr>
              <w:t>Como responsable, quiero asociar EIPDs a RATs específicos.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v1.3</w:t>
            </w:r>
          </w:p>
        </w:tc>
      </w:tr>
    </w:tbl>
    <w:p>
      <w:pPr>
        <w:pStyle w:val="Heading2"/>
      </w:pPr>
      <w:r>
        <w:t>2.5 Módulo Asesor 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38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96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Cobertura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US-AI-01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superadmin, quiero indexar documentos en el corpus del asesor IA.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v1.4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US-AI-02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superadmin, quiero ver estadísticas del corpus.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v1.4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b/>
                <w:sz w:val="20"/>
              </w:rPr>
              <w:t>US-AI-03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Como superadmin, quiero eliminar chunks irrelevantes del índice.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100%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Cerrado v1.4</w:t>
            </w:r>
          </w:p>
        </w:tc>
      </w:tr>
    </w:tbl>
    <w:p>
      <w:pPr>
        <w:pStyle w:val="Heading1"/>
      </w:pPr>
      <w:r>
        <w:t>3. Features técnicos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Categoría</w:t>
            </w:r>
          </w:p>
        </w:tc>
        <w:tc>
          <w:tcPr>
            <w:tcW w:type="dxa" w:w="589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_Token blacklist con JTI + LRU cache (commit 96167b5)._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TF-02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_IDOR protection con check_company_access (96167b5)._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TF-03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_CSV injection sanitization (96167b5)._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TF-04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_Hash chain SHA256 en audit_logs (96167b5)._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TF-05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Rate limiting con slowapi en /auth/login (5/min).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TF-06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_PII masking en logs (PIIMaskingFilter)._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TF-07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JWT expiry 480 min + refresh token rotation.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TF-08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Bug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_RBAC fixes DT-014/DT-015 (6209e2d)._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TF-09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Bug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_Router fixes consentimientos/eipd (6980187, 43287c0)._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TF-10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_Endpoint /health y /health/db (6209e2d)._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TF-11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_OCI Object Storage con fallback chain (57cbffc)._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TF-12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Feature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_Admin Asesor IA: index, stats, delete chunk (admin_asesor.py)._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S14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Pendiente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CSRF protection para formularios web (S14 de auditoría).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C1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Pendiente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Encryption at rest a nivel aplicación (AES-256).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A6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Pendiente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Service layer decoupling (para unit tests).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DT-009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Pendiente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Cobertura de tests 40% (actualmente ~25%).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DT-010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Pendiente</w:t>
            </w:r>
          </w:p>
        </w:tc>
        <w:tc>
          <w:tcPr>
            <w:tcW w:type="dxa" w:w="5896"/>
            <w:vAlign w:val="top"/>
          </w:tcPr>
          <w:p>
            <w:r/>
            <w:r>
              <w:rPr>
                <w:sz w:val="20"/>
              </w:rPr>
              <w:t>Tests E2E completos con Playwright CI/CD.</w:t>
            </w:r>
          </w:p>
        </w:tc>
      </w:tr>
    </w:tbl>
    <w:p>
      <w:pPr>
        <w:pStyle w:val="Heading1"/>
      </w:pPr>
      <w:r>
        <w:t>4. Bugs pendientes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Nombre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3402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96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ETA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S14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CSRF protection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P0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sz w:val="20"/>
              </w:rPr>
              <w:t>No hay validación CSRF en formularios web.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Pendiente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v1.4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Encryption at rest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sz w:val="20"/>
              </w:rPr>
              <w:t>Datos sensibles sin encryption a nivel DB.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Pendiente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v1.4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A6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sz w:val="20"/>
              </w:rPr>
              <w:t>Service layer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sz w:val="20"/>
              </w:rPr>
              <w:t>Lógica de negocio mezclada con routes.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Pendiente</w:t>
            </w:r>
          </w:p>
        </w:tc>
        <w:tc>
          <w:tcPr>
            <w:tcW w:type="dxa" w:w="964"/>
            <w:vAlign w:val="top"/>
          </w:tcPr>
          <w:p>
            <w:r/>
            <w:r>
              <w:rPr>
                <w:sz w:val="20"/>
              </w:rPr>
              <w:t>v1.6</w:t>
            </w:r>
          </w:p>
        </w:tc>
      </w:tr>
    </w:tbl>
    <w:p>
      <w:pPr>
        <w:pStyle w:val="Heading1"/>
      </w:pPr>
      <w:r>
        <w:t>5. Definition of Done</w:t>
      </w:r>
    </w:p>
    <w:p>
      <w:r>
        <w:rPr>
          <w:sz w:val="22"/>
        </w:rPr>
        <w:t>Cada item del backlog debe cumplir:</w:t>
      </w:r>
    </w:p>
    <w:p>
      <w:pPr>
        <w:pStyle w:val="ListBullet"/>
        <w:spacing w:after="40"/>
        <w:ind w:left="340"/>
      </w:pPr>
      <w:r>
        <w:rPr>
          <w:sz w:val="22"/>
        </w:rPr>
        <w:t>Código con tests unitarios (coverage ≥ 40% para v1.3, 70% para v1.4)</w:t>
      </w:r>
    </w:p>
    <w:p>
      <w:pPr>
        <w:pStyle w:val="ListBullet"/>
        <w:spacing w:after="40"/>
        <w:ind w:left="340"/>
      </w:pPr>
      <w:r>
        <w:rPr>
          <w:sz w:val="22"/>
        </w:rPr>
        <w:t>Code review aprobado por QA</w:t>
      </w:r>
    </w:p>
    <w:p>
      <w:pPr>
        <w:pStyle w:val="ListBullet"/>
        <w:spacing w:after="40"/>
        <w:ind w:left="340"/>
      </w:pPr>
      <w:r>
        <w:rPr>
          <w:sz w:val="22"/>
        </w:rPr>
        <w:t>E2E con Playwright pasando en QA</w:t>
      </w:r>
    </w:p>
    <w:p>
      <w:pPr>
        <w:pStyle w:val="ListBullet"/>
        <w:spacing w:after="40"/>
        <w:ind w:left="340"/>
      </w:pPr>
      <w:r>
        <w:rPr>
          <w:sz w:val="22"/>
        </w:rPr>
        <w:t>Documentación actualizada</w:t>
      </w:r>
    </w:p>
    <w:p>
      <w:pPr>
        <w:pStyle w:val="ListBullet"/>
        <w:spacing w:after="40"/>
        <w:ind w:left="340"/>
      </w:pPr>
      <w:r>
        <w:rPr>
          <w:sz w:val="22"/>
        </w:rPr>
        <w:t>No vulnerabilidades críticas en scan de seguridad</w:t>
      </w:r>
    </w:p>
    <w:p>
      <w:pPr>
        <w:pStyle w:val="Heading1"/>
      </w:pPr>
      <w:r>
        <w:t>Apéndice B — Riesgos identificados</w:t>
      </w:r>
    </w:p>
    <w:p>
      <w:r>
        <w:rPr>
          <w:i/>
          <w:sz w:val="22"/>
        </w:rPr>
        <w:t>Riesgos detectados durante la auditoría documental y técnica:</w:t>
      </w:r>
    </w:p>
    <w:p>
      <w:pPr>
        <w:spacing w:before="80" w:after="40"/>
      </w:pPr>
      <w:r>
        <w:rPr>
          <w:b/>
          <w:i/>
          <w:color w:val="1F497D"/>
          <w:sz w:val="18"/>
        </w:rPr>
        <w:t xml:space="preserve">Tabla 1 — </w:t>
      </w:r>
      <w:r>
        <w:rPr>
          <w:i/>
          <w:color w:val="404040"/>
          <w:sz w:val="18"/>
        </w:rPr>
        <w:t>Riesgos identificados durante la auditoría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737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Severidad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R-BK-01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Pendientes S14 y C1 bloquean certificación Ley 21.719 completa.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R-BK-02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DT-009 y DT-010 requieren inversión significativa en infrastructure CI/CD.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</w:tr>
    </w:tbl>
    <w:p>
      <w:pPr>
        <w:pStyle w:val="Heading1"/>
      </w:pPr>
      <w:r>
        <w:t>Apéndice A — Vacíos de información</w:t>
      </w:r>
    </w:p>
    <w:p>
      <w:r>
        <w:rPr>
          <w:i/>
          <w:sz w:val="22"/>
        </w:rPr>
        <w:t>Las siguientes preguntas quedan abiertas al equipo de producto o al Product Owner para ser resueltas en próximas iteraciones:</w:t>
      </w:r>
    </w:p>
    <w:p>
      <w:pPr>
        <w:pStyle w:val="ListBullet"/>
        <w:spacing w:after="40"/>
        <w:ind w:left="340"/>
      </w:pPr>
      <w:r>
        <w:rPr>
          <w:sz w:val="22"/>
        </w:rPr>
        <w:t>¿Se prioriza CSRF (S14) para v1.4 o v1.6?</w:t>
      </w:r>
    </w:p>
    <w:p>
      <w:pPr>
        <w:pStyle w:val="ListBullet"/>
        <w:spacing w:after="40"/>
        <w:ind w:left="340"/>
      </w:pPr>
      <w:r>
        <w:rPr>
          <w:sz w:val="22"/>
        </w:rPr>
        <w:t>¿Se usará AWS KMS o similar para C1 encryption?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3169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80"/>
              <w:sz w:val="16"/>
            </w:rPr>
            <w:t>Custodio RAT Manager · Ley 21.719</w:t>
          </w:r>
        </w:p>
      </w:tc>
      <w:tc>
        <w:tcPr>
          <w:tcW w:type="dxa" w:w="3169"/>
        </w:tcPr>
        <w:p>
          <w:pPr>
            <w:jc w:val="center"/>
          </w:pPr>
          <w:r>
            <w:rPr>
              <w:color w:val="808080"/>
              <w:sz w:val="16"/>
            </w:rPr>
            <w:t xml:space="preserve">Página </w:t>
          </w:r>
          <w:r>
            <w:rPr>
              <w:color w:val="808080"/>
              <w:sz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808080"/>
              <w:sz w:val="16"/>
            </w:rPr>
            <w:t xml:space="preserve"> de </w:t>
          </w:r>
          <w:r>
            <w:rPr>
              <w:color w:val="808080"/>
              <w:sz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  <w:tc>
        <w:tcPr>
          <w:tcW w:type="dxa" w:w="3402"/>
        </w:tcPr>
        <w:p>
          <w:pPr>
            <w:jc w:val="right"/>
          </w:pPr>
          <w:r>
            <w:rPr>
              <w:color w:val="808080"/>
              <w:sz w:val="16"/>
            </w:rPr>
            <w:t>Interno — Confidencial  ·  Backlog de Producto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669"/>
      <w:gridCol w:w="4303"/>
    </w:tblGrid>
    <w:tr>
      <w:tc>
        <w:tcPr>
          <w:tcW w:type="dxa" w:w="5669"/>
        </w:tcPr>
        <w:p>
          <w:pPr>
            <w:jc w:val="left"/>
            <w:pBdr>
              <w:bottom w:val="single" w:sz="6" w:space="1" w:color="1F497D"/>
            </w:pBdr>
          </w:pPr>
          <w:r>
            <w:rPr>
              <w:b/>
              <w:color w:val="1F497D"/>
              <w:sz w:val="18"/>
            </w:rPr>
            <w:t xml:space="preserve">▣  CUSTODIO  </w:t>
          </w:r>
          <w:r>
            <w:rPr>
              <w:color w:val="404040"/>
              <w:sz w:val="18"/>
            </w:rPr>
            <w:t>·  Backlog de Producto</w:t>
          </w:r>
        </w:p>
      </w:tc>
      <w:tc>
        <w:tcPr>
          <w:tcW w:type="dxa" w:w="4303"/>
        </w:tcPr>
        <w:p>
          <w:pPr>
            <w:jc w:val="right"/>
          </w:pPr>
          <w:r>
            <w:rPr>
              <w:color w:val="808080"/>
              <w:sz w:val="18"/>
            </w:rPr>
            <w:t>v1.6  ·  Junio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