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10 — Plan de QA</w:t>
      </w:r>
    </w:p>
    <w:p>
      <w:pPr>
        <w:jc w:val="center"/>
      </w:pPr>
      <w:r>
        <w:t>Suite de pruebas · 24/08/2026</w:t>
      </w:r>
    </w:p>
    <w:p/>
    <w:p>
      <w:pPr>
        <w:jc w:val="center"/>
      </w:pPr>
      <w:r>
        <w:t>Versión: v1.12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1. Métricas Actuales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Tests backend (pytest)</w:t>
            </w:r>
          </w:p>
        </w:tc>
        <w:tc>
          <w:tcPr>
            <w:tcW w:type="dxa" w:w="2880"/>
          </w:tcPr>
          <w:p>
            <w:r>
              <w:t>761+</w:t>
            </w:r>
          </w:p>
        </w:tc>
        <w:tc>
          <w:tcPr>
            <w:tcW w:type="dxa" w:w="2880"/>
          </w:tcPr>
          <w:p>
            <w:r>
              <w:t>Neon QA (custodio_test)</w:t>
            </w:r>
          </w:p>
        </w:tc>
      </w:tr>
      <w:tr>
        <w:tc>
          <w:tcPr>
            <w:tcW w:type="dxa" w:w="2880"/>
          </w:tcPr>
          <w:p>
            <w:r>
              <w:t>Tests frontend (vitest)</w:t>
            </w:r>
          </w:p>
        </w:tc>
        <w:tc>
          <w:tcPr>
            <w:tcW w:type="dxa" w:w="2880"/>
          </w:tcPr>
          <w:p>
            <w:r>
              <w:t>Incluidos en CI</w:t>
            </w:r>
          </w:p>
        </w:tc>
        <w:tc>
          <w:tcPr>
            <w:tcW w:type="dxa" w:w="2880"/>
          </w:tcPr>
          <w:p>
            <w:r>
              <w:t>vitest 3, excluye e2e/</w:t>
            </w:r>
          </w:p>
        </w:tc>
      </w:tr>
      <w:tr>
        <w:tc>
          <w:tcPr>
            <w:tcW w:type="dxa" w:w="2880"/>
          </w:tcPr>
          <w:p>
            <w:r>
              <w:t>Tests E2E (Playwright)</w:t>
            </w:r>
          </w:p>
        </w:tc>
        <w:tc>
          <w:tcPr>
            <w:tcW w:type="dxa" w:w="2880"/>
          </w:tcPr>
          <w:p>
            <w:r>
              <w:t>Ejecutados por separado</w:t>
            </w:r>
          </w:p>
        </w:tc>
        <w:tc>
          <w:tcPr>
            <w:tcW w:type="dxa" w:w="2880"/>
          </w:tcPr>
          <w:p>
            <w:r>
              <w:t>playwright.config.ts</w:t>
            </w:r>
          </w:p>
        </w:tc>
      </w:tr>
      <w:tr>
        <w:tc>
          <w:tcPr>
            <w:tcW w:type="dxa" w:w="2880"/>
          </w:tcPr>
          <w:p>
            <w:r>
              <w:t>Cobertura backend</w:t>
            </w:r>
          </w:p>
        </w:tc>
        <w:tc>
          <w:tcPr>
            <w:tcW w:type="dxa" w:w="2880"/>
          </w:tcPr>
          <w:p>
            <w:r>
              <w:t>Reportada via codecov</w:t>
            </w:r>
          </w:p>
        </w:tc>
        <w:tc>
          <w:tcPr>
            <w:tcW w:type="dxa" w:w="2880"/>
          </w:tcPr>
          <w:p>
            <w:r>
              <w:t>coverage.xml</w:t>
            </w:r>
          </w:p>
        </w:tc>
      </w:tr>
      <w:tr>
        <w:tc>
          <w:tcPr>
            <w:tcW w:type="dxa" w:w="2880"/>
          </w:tcPr>
          <w:p>
            <w:r>
              <w:t>Cobertura frontend</w:t>
            </w:r>
          </w:p>
        </w:tc>
        <w:tc>
          <w:tcPr>
            <w:tcW w:type="dxa" w:w="2880"/>
          </w:tcPr>
          <w:p>
            <w:r>
              <w:t>Reportada via codecov</w:t>
            </w:r>
          </w:p>
        </w:tc>
        <w:tc>
          <w:tcPr>
            <w:tcW w:type="dxa" w:w="2880"/>
          </w:tcPr>
          <w:p>
            <w:r>
              <w:t>lcov.info</w:t>
            </w:r>
          </w:p>
        </w:tc>
      </w:tr>
      <w:tr>
        <w:tc>
          <w:tcPr>
            <w:tcW w:type="dxa" w:w="2880"/>
          </w:tcPr>
          <w:p>
            <w:r>
              <w:t>Fallos en suite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Post-QA total 2026-08-22 (78 → 0)</w:t>
            </w:r>
          </w:p>
        </w:tc>
      </w:tr>
    </w:tbl>
    <w:p>
      <w:pPr>
        <w:pStyle w:val="Heading1"/>
      </w:pPr>
      <w:r>
        <w:t>2. Nuevos Casos de Prueba v1.12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Descripción / Expectativa</w:t>
            </w:r>
          </w:p>
        </w:tc>
      </w:tr>
      <w:tr>
        <w:tc>
          <w:tcPr>
            <w:tcW w:type="dxa" w:w="2880"/>
          </w:tcPr>
          <w:p>
            <w:r>
              <w:t>TC-056</w:t>
            </w:r>
          </w:p>
        </w:tc>
        <w:tc>
          <w:tcPr>
            <w:tcW w:type="dxa" w:w="2880"/>
          </w:tcPr>
          <w:p>
            <w:r>
              <w:t>QW5 titular nuevo</w:t>
            </w:r>
          </w:p>
        </w:tc>
        <w:tc>
          <w:tcPr>
            <w:tcW w:type="dxa" w:w="2880"/>
          </w:tcPr>
          <w:p>
            <w:r>
              <w:t>GET /publico/verificar-titular con email sin tickets → tiene_tickets_abiertos=false</w:t>
            </w:r>
          </w:p>
        </w:tc>
      </w:tr>
      <w:tr>
        <w:tc>
          <w:tcPr>
            <w:tcW w:type="dxa" w:w="2880"/>
          </w:tcPr>
          <w:p>
            <w:r>
              <w:t>TC-057</w:t>
            </w:r>
          </w:p>
        </w:tc>
        <w:tc>
          <w:tcPr>
            <w:tcW w:type="dxa" w:w="2880"/>
          </w:tcPr>
          <w:p>
            <w:r>
              <w:t>QW5 titular repetido</w:t>
            </w:r>
          </w:p>
        </w:tc>
        <w:tc>
          <w:tcPr>
            <w:tcW w:type="dxa" w:w="2880"/>
          </w:tcPr>
          <w:p>
            <w:r>
              <w:t>GET /publico/verificar-titular con email con ticket abierto → tiene_tickets_abiertos=true, cantidad&gt;=1</w:t>
            </w:r>
          </w:p>
        </w:tc>
      </w:tr>
      <w:tr>
        <w:tc>
          <w:tcPr>
            <w:tcW w:type="dxa" w:w="2880"/>
          </w:tcPr>
          <w:p>
            <w:r>
              <w:t>TC-058</w:t>
            </w:r>
          </w:p>
        </w:tc>
        <w:tc>
          <w:tcPr>
            <w:tcW w:type="dxa" w:w="2880"/>
          </w:tcPr>
          <w:p>
            <w:r>
              <w:t>QW5 titular cerrado</w:t>
            </w:r>
          </w:p>
        </w:tc>
        <w:tc>
          <w:tcPr>
            <w:tcW w:type="dxa" w:w="2880"/>
          </w:tcPr>
          <w:p>
            <w:r>
              <w:t>GET /publico/verificar-titular con email solo con ticket resuelto → tiene_tickets_abiertos=false</w:t>
            </w:r>
          </w:p>
        </w:tc>
      </w:tr>
      <w:tr>
        <w:tc>
          <w:tcPr>
            <w:tcW w:type="dxa" w:w="2880"/>
          </w:tcPr>
          <w:p>
            <w:r>
              <w:t>TC-059</w:t>
            </w:r>
          </w:p>
        </w:tc>
        <w:tc>
          <w:tcPr>
            <w:tcW w:type="dxa" w:w="2880"/>
          </w:tcPr>
          <w:p>
            <w:r>
              <w:t>QW5 rate limit</w:t>
            </w:r>
          </w:p>
        </w:tc>
        <w:tc>
          <w:tcPr>
            <w:tcW w:type="dxa" w:w="2880"/>
          </w:tcPr>
          <w:p>
            <w:r>
              <w:t>21 llamadas en 1 minuto desde misma IP → respuesta 429</w:t>
            </w:r>
          </w:p>
        </w:tc>
      </w:tr>
      <w:tr>
        <w:tc>
          <w:tcPr>
            <w:tcW w:type="dxa" w:w="2880"/>
          </w:tcPr>
          <w:p>
            <w:r>
              <w:t>TC-060</w:t>
            </w:r>
          </w:p>
        </w:tc>
        <w:tc>
          <w:tcPr>
            <w:tcW w:type="dxa" w:w="2880"/>
          </w:tcPr>
          <w:p>
            <w:r>
              <w:t>ARCO-QW6 acuse email</w:t>
            </w:r>
          </w:p>
        </w:tc>
        <w:tc>
          <w:tcPr>
            <w:tcW w:type="dxa" w:w="2880"/>
          </w:tcPr>
          <w:p>
            <w:r>
              <w:t>POST ticket con titular_email → acuse_enviado_at se popula en BD</w:t>
            </w:r>
          </w:p>
        </w:tc>
      </w:tr>
      <w:tr>
        <w:tc>
          <w:tcPr>
            <w:tcW w:type="dxa" w:w="2880"/>
          </w:tcPr>
          <w:p>
            <w:r>
              <w:t>TC-061</w:t>
            </w:r>
          </w:p>
        </w:tc>
        <w:tc>
          <w:tcPr>
            <w:tcW w:type="dxa" w:w="2880"/>
          </w:tcPr>
          <w:p>
            <w:r>
              <w:t>ARCO-QW6 sin email</w:t>
            </w:r>
          </w:p>
        </w:tc>
        <w:tc>
          <w:tcPr>
            <w:tcW w:type="dxa" w:w="2880"/>
          </w:tcPr>
          <w:p>
            <w:r>
              <w:t>POST ticket sin titular_email → no error, acuse_enviado_at=null</w:t>
            </w:r>
          </w:p>
        </w:tc>
      </w:tr>
      <w:tr>
        <w:tc>
          <w:tcPr>
            <w:tcW w:type="dxa" w:w="2880"/>
          </w:tcPr>
          <w:p>
            <w:r>
              <w:t>TC-062</w:t>
            </w:r>
          </w:p>
        </w:tc>
        <w:tc>
          <w:tcPr>
            <w:tcW w:type="dxa" w:w="2880"/>
          </w:tcPr>
          <w:p>
            <w:r>
              <w:t>Empresas-QW6 tab RATs</w:t>
            </w:r>
          </w:p>
        </w:tc>
        <w:tc>
          <w:tcPr>
            <w:tcW w:type="dxa" w:w="2880"/>
          </w:tcPr>
          <w:p>
            <w:r>
              <w:t>GET /rats/?company_id=X desde CompanyFichaPanel → retorna RATs de la empresa</w:t>
            </w:r>
          </w:p>
        </w:tc>
      </w:tr>
      <w:tr>
        <w:tc>
          <w:tcPr>
            <w:tcW w:type="dxa" w:w="2880"/>
          </w:tcPr>
          <w:p>
            <w:r>
              <w:t>TC-063</w:t>
            </w:r>
          </w:p>
        </w:tc>
        <w:tc>
          <w:tcPr>
            <w:tcW w:type="dxa" w:w="2880"/>
          </w:tcPr>
          <w:p>
            <w:r>
              <w:t>APDP nomenclatura</w:t>
            </w:r>
          </w:p>
        </w:tc>
        <w:tc>
          <w:tcPr>
            <w:tcW w:type="dxa" w:w="2880"/>
          </w:tcPr>
          <w:p>
            <w:r>
              <w:t>GET /rats/export/cni → título contiene 'APDP' (no 'APDC')</w:t>
            </w:r>
          </w:p>
        </w:tc>
      </w:tr>
    </w:tbl>
    <w:p>
      <w:pPr>
        <w:pStyle w:val="Heading1"/>
      </w:pPr>
      <w:r>
        <w:t>3. Configuración CI/CD</w:t>
      </w:r>
    </w:p>
    <w:p>
      <w:r>
        <w:t>El pipeline 'Tests + Coverage' corre en GitHub Actions en cada push a main/qa/develop.</w:t>
        <w:br/>
        <w:br/>
        <w:t>Variables de entorno requeridas en GitHub Secrets:</w:t>
        <w:br/>
        <w:t>• TEST_DATABASE_URL — connection string a Neon QA (custodio_test)</w:t>
        <w:br/>
        <w:br/>
        <w:t>Variables hardcodeadas en el workflow (no sensibles):</w:t>
        <w:br/>
        <w:t>• ALLOWED_ORIGINS=http://localhost:3000</w:t>
        <w:br/>
        <w:t>• ENVIRONMENT=development</w:t>
        <w:br/>
        <w:br/>
        <w:t>El job 'lint' incluye desde v1.12:</w:t>
        <w:br/>
        <w:t>• ruff check backend/app/ (falla en E/F errors)</w:t>
        <w:br/>
        <w:t>• pip-audit -r backend/requirements.txt --severity critical (bloquea CRITICAL)</w:t>
        <w:br/>
        <w:t>• npm run lint (ESLint frontend)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