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→ HU → CU → TC · Iter 11+12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RF-041 a RF-051 → HU y CU.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_RF-052 a RF-065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_RF-066 a RF-090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_RF-091 a RF-128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RF-129 a RF-140 → Sprint 1+2.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_RF-141 a RF-162 → HU-086 a HU-097 → CU-069 a CU-077 → TC-030 a TC-038._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_RF-163 a RF-169 → HU-098 a HU-103 → CU-078 a CU-082 → TC-039 a TC-046._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Matriz RF → HU → CU → TC (v1.10 — Iter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TC-039-041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IDOR multi-tenant en 6 endpoints RAT (404 si empresa no coincide)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Superadmin accede a RAT de cualquier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base_legal_valida strict contra enum taxativo (6 opciones)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ConsentimientoAlert: listarConsentimientos() si datos_sensibles=True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Homologación orden campos RAT (5 pasos canónicos)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TC-046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PDF con títulos de sección y alertas rojas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HU-103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CU-082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Encoding UTF-8 corregido en backend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Código muerto eliminado (return duplicado, model_dump duplicado)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2. Cobertura de trazabilidad</w:t>
      </w:r>
    </w:p>
    <w:p>
      <w:r>
        <w:rPr>
          <w:sz w:val="22"/>
        </w:rPr>
        <w:t>_Total RF documentados: 169 (RF-001 a RF-169). RF con HU: 100%. RF con CU: 95%. RF con TC: 80%._</w:t>
      </w:r>
    </w:p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Validación técnica.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