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4"/>
        </w:rPr>
        <w:t xml:space="preserve">  ▣  ASESOR CUSTODIO  ·  MÓDULO RAG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ASES-DOC-01</w:t>
      </w:r>
    </w:p>
    <w:p/>
    <w:p/>
    <w:p>
      <w:pPr>
        <w:spacing w:after="240"/>
        <w:jc w:val="center"/>
      </w:pPr>
      <w:r>
        <w:rPr>
          <w:b/>
          <w:color w:val="0D4F3C"/>
          <w:sz w:val="56"/>
        </w:rPr>
        <w:t>VISIÓN Y ALCANCE DEL ASESOR</w:t>
      </w:r>
    </w:p>
    <w:p>
      <w:pPr>
        <w:spacing w:after="480"/>
        <w:jc w:val="center"/>
      </w:pPr>
      <w:r>
        <w:rPr>
          <w:i/>
          <w:color w:val="C8A951"/>
          <w:sz w:val="28"/>
        </w:rPr>
        <w:t>Módulo RAG de Custodio RAT Manager · Ley 21.719</w:t>
      </w:r>
    </w:p>
    <w:p/>
    <w:p/>
    <w:p>
      <w:pPr>
        <w:jc w:val="center"/>
        <w:pBdr>
          <w:bottom w:val="single" w:sz="12" w:space="1" w:color="C8A951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0D4F3C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0"/>
        </w:rPr>
        <w:t xml:space="preserve">  TU ASESOR EXPERTO EN PROTECCIÓN DE DATOS — LEY 21.719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0D4F3C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0D4F3C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0D4F3C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0D4F3C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Creación inicial del documento a partir de la auditoría previa AUDITORIA_ASES_V1.0.md.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4F3C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0D4F3C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Visión y Alcance del Asesor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Problema que resuelve</w:t>
      </w:r>
    </w:p>
    <w:p>
      <w:r>
        <w:rPr>
          <w:sz w:val="22"/>
        </w:rPr>
        <w:t>Las organizaciones chilenas que deben cumplir la Ley 21.719 se enfrentan a tres problemas operacionales recurrentes: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Interpretación legal: </w:t>
      </w:r>
      <w:r>
        <w:rPr>
          <w:sz w:val="22"/>
        </w:rPr>
        <w:t>Dificultad para interpretar los artículos de la ley sin asistencia legal especializada.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Inconsistencia: </w:t>
      </w:r>
      <w:r>
        <w:rPr>
          <w:sz w:val="22"/>
        </w:rPr>
        <w:t>Respuestas inconsistentes al responder consultas internas sobre qué RAT crear, qué base legal aplica o si se requiere EIPD.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Latencia: </w:t>
      </w:r>
      <w:r>
        <w:rPr>
          <w:sz w:val="22"/>
        </w:rPr>
        <w:t>Tiempo elevado entre la consulta del responsable y la obtención de una respuesta accionable, que frena la operación.</w:t>
      </w:r>
    </w:p>
    <w:p>
      <w:r>
        <w:rPr>
          <w:sz w:val="22"/>
        </w:rPr>
        <w:t>El módulo Custodio Asesor ataca estos tres problemas con un asistente IA que recupera evidencia directamente del texto de la Ley 21.719 y de los manuales de uso de Custodio, y la presenta al usuario con citas a las fuentes.</w:t>
      </w:r>
    </w:p>
    <w:p>
      <w:pPr>
        <w:pBdr>
          <w:top w:val="single" w:sz="16" w:space="4" w:color="2E74B5"/>
          <w:left w:val="single" w:sz="16" w:space="4" w:color="2E74B5"/>
          <w:bottom w:val="single" w:sz="16" w:space="4" w:color="2E74B5"/>
          <w:right w:val="single" w:sz="16" w:space="4" w:color="2E74B5"/>
        </w:pBdr>
        <w:shd w:val="clear" w:color="auto" w:fill="F2F7FC"/>
        <w:spacing w:before="80" w:after="80"/>
        <w:ind w:left="113" w:right="113"/>
      </w:pPr>
      <w:r>
        <w:rPr>
          <w:b/>
          <w:color w:val="C00000"/>
          <w:sz w:val="20"/>
        </w:rPr>
        <w:t xml:space="preserve">ℹ  Citas obligatorias.  </w:t>
      </w:r>
      <w:r>
        <w:rPr>
          <w:color w:val="404040"/>
          <w:sz w:val="20"/>
        </w:rPr>
        <w:t>El Asesor nunca responde 'de memoria'. Toda respuesta incluye al menos una cita a un documento del corpus (Ley o manual) para que el usuario pueda validar la fuente.</w:t>
      </w:r>
    </w:p>
    <w:p>
      <w:pPr>
        <w:pStyle w:val="Heading1"/>
      </w:pPr>
      <w:r>
        <w:t>2. Objetivos del negocio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Objetivos de negocio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855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ON-01</w:t>
            </w:r>
          </w:p>
        </w:tc>
        <w:tc>
          <w:tcPr>
            <w:tcW w:type="dxa" w:w="8555"/>
            <w:vAlign w:val="top"/>
          </w:tcPr>
          <w:p>
            <w:r/>
            <w:r>
              <w:rPr>
                <w:sz w:val="20"/>
              </w:rPr>
              <w:t>Reducir el tiempo medio de respuesta a consultas sobre Ley 21.719 de horas/días a segundos.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ON-02</w:t>
            </w:r>
          </w:p>
        </w:tc>
        <w:tc>
          <w:tcPr>
            <w:tcW w:type="dxa" w:w="8555"/>
            <w:vAlign w:val="top"/>
          </w:tcPr>
          <w:p>
            <w:r/>
            <w:r>
              <w:rPr>
                <w:sz w:val="20"/>
              </w:rPr>
              <w:t>Aumentar la consistencia de las RATs generadas por distintos usuarios dentro de la misma empresa.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ON-03</w:t>
            </w:r>
          </w:p>
        </w:tc>
        <w:tc>
          <w:tcPr>
            <w:tcW w:type="dxa" w:w="8555"/>
            <w:vAlign w:val="top"/>
          </w:tcPr>
          <w:p>
            <w:r/>
            <w:r>
              <w:rPr>
                <w:sz w:val="20"/>
              </w:rPr>
              <w:t>Disminuir la dependencia de asesoría legal externa para consultas operativas de cumplimiento.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ON-04</w:t>
            </w:r>
          </w:p>
        </w:tc>
        <w:tc>
          <w:tcPr>
            <w:tcW w:type="dxa" w:w="8555"/>
            <w:vAlign w:val="top"/>
          </w:tcPr>
          <w:p>
            <w:r/>
            <w:r>
              <w:rPr>
                <w:sz w:val="20"/>
              </w:rPr>
              <w:t>Acelerar la adopción de Custodio RAT Manager como herramienta de uso diario.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ON-05</w:t>
            </w:r>
          </w:p>
        </w:tc>
        <w:tc>
          <w:tcPr>
            <w:tcW w:type="dxa" w:w="8555"/>
            <w:vAlign w:val="top"/>
          </w:tcPr>
          <w:p>
            <w:r/>
            <w:r>
              <w:rPr>
                <w:sz w:val="20"/>
              </w:rPr>
              <w:t>Generar diferenciación competitiva frente a competidores que solo ofrecen CRUD sin asistencia.</w:t>
            </w:r>
          </w:p>
        </w:tc>
      </w:tr>
    </w:tbl>
    <w:p>
      <w:pPr>
        <w:pStyle w:val="Heading1"/>
      </w:pPr>
      <w:r>
        <w:t>3. Público objetivo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Público objetivo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Rol</w:t>
            </w:r>
          </w:p>
        </w:tc>
        <w:tc>
          <w:tcPr>
            <w:tcW w:type="dxa" w:w="7138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Necesidad cubierta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DPO / Oficial de protección de datos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Consultas técnicas recurrentes sobre artículos y procedimientos.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Administrador de empresa (admin_empresa)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Dudas operativas al crear/editar RATs, brechas o consentimientos.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Usuario regular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Soporte contextual al usar el sistema, sin abandonar la pantalla de trabajo.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Auditor externo / APDP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Acceso de solo lectura a evidencia y consultas registradas (futuro v2.0).</w:t>
            </w:r>
          </w:p>
        </w:tc>
      </w:tr>
    </w:tbl>
    <w:p>
      <w:pPr>
        <w:pStyle w:val="Heading1"/>
      </w:pPr>
      <w:r>
        <w:t>4. Propuesta de valor</w:t>
      </w:r>
    </w:p>
    <w:p>
      <w:r>
        <w:rPr>
          <w:sz w:val="22"/>
        </w:rPr>
        <w:t>Custodio Asesor ofrece respuestas accionables, citadas y trazables sobre la Ley 21.719, integradas al flujo de trabajo de Custodio RAT Manager. A diferencia de un chat genérico, el Asesor: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Recuperación: </w:t>
      </w:r>
      <w:r>
        <w:rPr>
          <w:sz w:val="22"/>
        </w:rPr>
        <w:t>Recupera evidencia del corpus legal y de manuales operativos antes de responder.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Citas: </w:t>
      </w:r>
      <w:r>
        <w:rPr>
          <w:sz w:val="22"/>
        </w:rPr>
        <w:t>Cita explícitamente el artículo o sección de la que extrae la respuesta.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Auditoría: </w:t>
      </w:r>
      <w:r>
        <w:rPr>
          <w:sz w:val="22"/>
        </w:rPr>
        <w:t>Registra cada consulta en audit_log para evidencia de cumplimiento.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Aislamiento: </w:t>
      </w:r>
      <w:r>
        <w:rPr>
          <w:sz w:val="22"/>
        </w:rPr>
        <w:t>Mantiene el contexto multi-tenant: nunca mezcla información entre empresas.</w:t>
      </w:r>
    </w:p>
    <w:p>
      <w:pPr>
        <w:pStyle w:val="Heading1"/>
      </w:pPr>
      <w:r>
        <w:t>5. Alcance del producto (v1.0)</w:t>
      </w:r>
    </w:p>
    <w:p>
      <w:pPr>
        <w:pStyle w:val="Heading2"/>
      </w:pPr>
      <w:r>
        <w:t>5.1 Dentro del alcance</w:t>
      </w:r>
    </w:p>
    <w:p>
      <w:pPr>
        <w:pStyle w:val="ListBullet"/>
        <w:spacing w:after="40"/>
        <w:ind w:left="340"/>
      </w:pPr>
      <w:r>
        <w:rPr>
          <w:sz w:val="22"/>
        </w:rPr>
        <w:t>Chat autenticado en la página /asesor para usuarios logueados.</w:t>
      </w:r>
    </w:p>
    <w:p>
      <w:pPr>
        <w:pStyle w:val="ListBullet"/>
        <w:spacing w:after="40"/>
        <w:ind w:left="340"/>
      </w:pPr>
      <w:r>
        <w:rPr>
          <w:sz w:val="22"/>
        </w:rPr>
        <w:t>Retrieval-augmented generation sobre el corpus indexado.</w:t>
      </w:r>
    </w:p>
    <w:p>
      <w:pPr>
        <w:pStyle w:val="ListBullet"/>
        <w:spacing w:after="40"/>
        <w:ind w:left="340"/>
      </w:pPr>
      <w:r>
        <w:rPr>
          <w:sz w:val="22"/>
        </w:rPr>
        <w:t>Citas a fuentes en cada respuesta con link al documento original.</w:t>
      </w:r>
    </w:p>
    <w:p>
      <w:pPr>
        <w:pStyle w:val="ListBullet"/>
        <w:spacing w:after="40"/>
        <w:ind w:left="340"/>
      </w:pPr>
      <w:r>
        <w:rPr>
          <w:sz w:val="22"/>
        </w:rPr>
        <w:t>Auditoría de cada consulta en audit_log (entidad=asesor).</w:t>
      </w:r>
    </w:p>
    <w:p>
      <w:pPr>
        <w:pStyle w:val="ListBullet"/>
        <w:spacing w:after="40"/>
        <w:ind w:left="340"/>
      </w:pPr>
      <w:r>
        <w:rPr>
          <w:sz w:val="22"/>
        </w:rPr>
        <w:t>Endpoint admin /admin/asesor/index para indexar/actualizar el corpus.</w:t>
      </w:r>
    </w:p>
    <w:p>
      <w:pPr>
        <w:pStyle w:val="ListBullet"/>
        <w:spacing w:after="40"/>
        <w:ind w:left="340"/>
      </w:pPr>
      <w:r>
        <w:rPr>
          <w:sz w:val="22"/>
        </w:rPr>
        <w:t>Endpoint admin /admin/asesor/stats para ver cobertura del corpus.</w:t>
      </w:r>
    </w:p>
    <w:p>
      <w:pPr>
        <w:pStyle w:val="ListBullet"/>
        <w:spacing w:after="40"/>
        <w:ind w:left="340"/>
      </w:pPr>
      <w:r>
        <w:rPr>
          <w:sz w:val="22"/>
        </w:rPr>
        <w:t>Soporte de corpus Markdown (.md) y texto plano (.txt) en v1.0.</w:t>
      </w:r>
    </w:p>
    <w:p>
      <w:pPr>
        <w:pStyle w:val="ListBullet"/>
        <w:spacing w:after="40"/>
        <w:ind w:left="340"/>
      </w:pPr>
      <w:r>
        <w:rPr>
          <w:sz w:val="22"/>
        </w:rPr>
        <w:t>Embeddings vía MiniMax con fallback automático a OpenAI.</w:t>
      </w:r>
    </w:p>
    <w:p>
      <w:pPr>
        <w:pStyle w:val="Heading2"/>
      </w:pPr>
      <w:r>
        <w:t>5.2 Fuera del alcance (v1.0)</w:t>
      </w:r>
    </w:p>
    <w:p>
      <w:pPr>
        <w:pStyle w:val="ListBullet"/>
        <w:spacing w:after="40"/>
        <w:ind w:left="340"/>
      </w:pPr>
      <w:r>
        <w:rPr>
          <w:sz w:val="22"/>
        </w:rPr>
        <w:t>Acceso público (formulario ARCO) — se difiere a v1.1.</w:t>
      </w:r>
    </w:p>
    <w:p>
      <w:pPr>
        <w:pStyle w:val="ListBullet"/>
        <w:spacing w:after="40"/>
        <w:ind w:left="340"/>
      </w:pPr>
      <w:r>
        <w:rPr>
          <w:sz w:val="22"/>
        </w:rPr>
        <w:t>Streaming de respuestas vía SSE — se difiere a v1.1.</w:t>
      </w:r>
    </w:p>
    <w:p>
      <w:pPr>
        <w:pStyle w:val="ListBullet"/>
        <w:spacing w:after="40"/>
        <w:ind w:left="340"/>
      </w:pPr>
      <w:r>
        <w:rPr>
          <w:sz w:val="22"/>
        </w:rPr>
        <w:t>Reindex automático programado — se difiere a v1.1.</w:t>
      </w:r>
    </w:p>
    <w:p>
      <w:pPr>
        <w:pStyle w:val="ListBullet"/>
        <w:spacing w:after="40"/>
        <w:ind w:left="340"/>
      </w:pPr>
      <w:r>
        <w:rPr>
          <w:sz w:val="22"/>
        </w:rPr>
        <w:t>Historial de conversaciones persistido — se difiere a v1.1.</w:t>
      </w:r>
    </w:p>
    <w:p>
      <w:pPr>
        <w:pStyle w:val="ListBullet"/>
        <w:spacing w:after="40"/>
        <w:ind w:left="340"/>
      </w:pPr>
      <w:r>
        <w:rPr>
          <w:sz w:val="22"/>
        </w:rPr>
        <w:t>Soporte de PDFs con OCR — se difiere a v1.1 (en v1.0 solo se soporta texto extraído).</w:t>
      </w:r>
    </w:p>
    <w:p>
      <w:pPr>
        <w:pStyle w:val="ListBullet"/>
        <w:spacing w:after="40"/>
        <w:ind w:left="340"/>
      </w:pPr>
      <w:r>
        <w:rPr>
          <w:sz w:val="22"/>
        </w:rPr>
        <w:t>Multi-idioma — solo español en v1.0.</w:t>
      </w:r>
    </w:p>
    <w:p>
      <w:pPr>
        <w:pStyle w:val="ListBullet"/>
        <w:spacing w:after="40"/>
        <w:ind w:left="340"/>
      </w:pPr>
      <w:r>
        <w:rPr>
          <w:sz w:val="22"/>
        </w:rPr>
        <w:t>Re-ranking con cross-encoder — v1.0 usa cosine top-k simple.</w:t>
      </w:r>
    </w:p>
    <w:p>
      <w:pPr>
        <w:pStyle w:val="Heading1"/>
      </w:pPr>
      <w:r>
        <w:t>6. Beneficios esperados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Beneficio medible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Métrica objetivo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Reducción del tiempo de consulta legal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De 1 día a &lt; 5 segundos (P95)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Cobertura del corpus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100% de los artículos relevantes indexados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Tasa de respuestas con cita válida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≥ 95%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Adopción por usuarios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≥ 40% de usuarios activos usan el Asesor en el primer mes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Reducción de tickets a soporte humano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≥ 30% menos tickets de primer nivel</w:t>
            </w:r>
          </w:p>
        </w:tc>
      </w:tr>
    </w:tbl>
    <w:p>
      <w:pPr>
        <w:pStyle w:val="Heading1"/>
      </w:pPr>
      <w:r>
        <w:t>7. Restricciones y asunciones</w:t>
      </w:r>
    </w:p>
    <w:p>
      <w:pPr>
        <w:pStyle w:val="Heading2"/>
      </w:pPr>
      <w:r>
        <w:t>7.1 Restricciones técnicas</w:t>
      </w:r>
    </w:p>
    <w:p>
      <w:pPr>
        <w:pStyle w:val="ListBullet"/>
        <w:spacing w:after="40"/>
        <w:ind w:left="340"/>
      </w:pPr>
      <w:r>
        <w:rPr>
          <w:sz w:val="22"/>
        </w:rPr>
        <w:t>Vercel serverless: latencia de cold start afecta a la primera consulta.</w:t>
      </w:r>
    </w:p>
    <w:p>
      <w:pPr>
        <w:pStyle w:val="ListBullet"/>
        <w:spacing w:after="40"/>
        <w:ind w:left="340"/>
      </w:pPr>
      <w:r>
        <w:rPr>
          <w:sz w:val="22"/>
        </w:rPr>
        <w:t>Neon free tier: límite de almacenamiento vectorial a monitorear.</w:t>
      </w:r>
    </w:p>
    <w:p>
      <w:pPr>
        <w:pStyle w:val="ListBullet"/>
        <w:spacing w:after="40"/>
        <w:ind w:left="340"/>
      </w:pPr>
      <w:r>
        <w:rPr>
          <w:sz w:val="22"/>
        </w:rPr>
        <w:t>Costo de embeddings: indexación completa solo se ejecuta bajo demanda (no automática en v1.0).</w:t>
      </w:r>
    </w:p>
    <w:p>
      <w:pPr>
        <w:pStyle w:val="Heading2"/>
      </w:pPr>
      <w:r>
        <w:t>7.2 Asunciones de negocio</w:t>
      </w:r>
    </w:p>
    <w:p>
      <w:pPr>
        <w:pStyle w:val="ListBullet"/>
        <w:spacing w:after="40"/>
        <w:ind w:left="340"/>
      </w:pPr>
      <w:r>
        <w:rPr>
          <w:sz w:val="22"/>
        </w:rPr>
        <w:t>Los usuarios tienen rol autenticado (no se permite uso anónimo).</w:t>
      </w:r>
    </w:p>
    <w:p>
      <w:pPr>
        <w:pStyle w:val="ListBullet"/>
        <w:spacing w:after="40"/>
        <w:ind w:left="340"/>
      </w:pPr>
      <w:r>
        <w:rPr>
          <w:sz w:val="22"/>
        </w:rPr>
        <w:t>El corpus inicial (Ley + manuales) es mantenido por el equipo Custodio.</w:t>
      </w:r>
    </w:p>
    <w:p>
      <w:pPr>
        <w:pStyle w:val="ListBullet"/>
        <w:spacing w:after="40"/>
        <w:ind w:left="340"/>
      </w:pPr>
      <w:r>
        <w:rPr>
          <w:sz w:val="22"/>
        </w:rPr>
        <w:t>El LLM no entrega consejo legal profesional: derivados a abogado si la consulta lo requiere.</w:t>
      </w:r>
    </w:p>
    <w:p>
      <w:pPr>
        <w:pStyle w:val="Heading1"/>
      </w:pPr>
      <w:r>
        <w:t>8. Métricas de éxito (KPIs)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KPIs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Métrica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Objetivo</w:t>
            </w:r>
          </w:p>
        </w:tc>
        <w:tc>
          <w:tcPr>
            <w:tcW w:type="dxa" w:w="3169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Frecuencia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KPI-01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Latencia P95 de respuesta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&lt; 5 segundos</w:t>
            </w:r>
          </w:p>
        </w:tc>
        <w:tc>
          <w:tcPr>
            <w:tcW w:type="dxa" w:w="3169"/>
            <w:vAlign w:val="top"/>
          </w:tcPr>
          <w:p>
            <w:r/>
            <w:r>
              <w:rPr>
                <w:sz w:val="20"/>
              </w:rPr>
              <w:t>Medición continua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KPI-02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Consultas con ≥ 1 cita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≥ 95%</w:t>
            </w:r>
          </w:p>
        </w:tc>
        <w:tc>
          <w:tcPr>
            <w:tcW w:type="dxa" w:w="3169"/>
            <w:vAlign w:val="top"/>
          </w:tcPr>
          <w:p>
            <w:r/>
            <w:r>
              <w:rPr>
                <w:sz w:val="20"/>
              </w:rPr>
              <w:t>Medición diaria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KPI-03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Tasa de fallback al chat genérico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≤ 20%</w:t>
            </w:r>
          </w:p>
        </w:tc>
        <w:tc>
          <w:tcPr>
            <w:tcW w:type="dxa" w:w="3169"/>
            <w:vAlign w:val="top"/>
          </w:tcPr>
          <w:p>
            <w:r/>
            <w:r>
              <w:rPr>
                <w:sz w:val="20"/>
              </w:rPr>
              <w:t>Medición semanal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KPI-04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Usuarios activos que usan el Asesor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≥ 40% en primer mes</w:t>
            </w:r>
          </w:p>
        </w:tc>
        <w:tc>
          <w:tcPr>
            <w:tcW w:type="dxa" w:w="3169"/>
            <w:vAlign w:val="top"/>
          </w:tcPr>
          <w:p>
            <w:r/>
            <w:r>
              <w:rPr>
                <w:sz w:val="20"/>
              </w:rPr>
              <w:t>Medición mensual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KPI-05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Chunks indexados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≥ 200 (Ley + manuales)</w:t>
            </w:r>
          </w:p>
        </w:tc>
        <w:tc>
          <w:tcPr>
            <w:tcW w:type="dxa" w:w="3169"/>
            <w:vAlign w:val="top"/>
          </w:tcPr>
          <w:p>
            <w:r/>
            <w:r>
              <w:rPr>
                <w:sz w:val="20"/>
              </w:rPr>
              <w:t>Verificar tras indexar</w:t>
            </w:r>
          </w:p>
        </w:tc>
      </w:tr>
    </w:tbl>
    <w:p>
      <w:pPr>
        <w:pStyle w:val="Heading1"/>
      </w:pPr>
      <w:r>
        <w:t>9. Riesgos de producto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Riesgos de producto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Severidad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402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Mitigación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R-01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Alucinaciones del LLM que contradigan la ley.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Prompt con cita obligatoria + threshold de similitud mínimo.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R-02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Endpoint de embeddings MiniMax no disponible.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Fallback automático a OpenAI documentado y testeado.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R-03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Adopción baja por usuarios.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OnboardingChecklist incluye paso 'Probar el Asesor' en v1.1.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R-04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Costos de embeddings por reindex excesivo.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Indexación idempotente por hash (solo chunks nuevos).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R-05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Branding del Asesor confunde con producto separado.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UI clarifica 'Módulo Asesor de Custodio' en cada página.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debe permitir que empresas suban sus propios documentos al corpus? (v1.1 vs v2.0)</w:t>
      </w:r>
    </w:p>
    <w:p>
      <w:pPr>
        <w:pStyle w:val="ListBullet"/>
        <w:spacing w:after="40"/>
        <w:ind w:left="340"/>
      </w:pPr>
      <w:r>
        <w:rPr>
          <w:sz w:val="22"/>
        </w:rPr>
        <w:t>¿Cuál es el costo máximo aceptable por mes de embeddings+LLM en producción?</w:t>
      </w:r>
    </w:p>
    <w:p>
      <w:pPr>
        <w:pStyle w:val="ListBullet"/>
        <w:spacing w:after="40"/>
        <w:ind w:left="340"/>
      </w:pPr>
      <w:r>
        <w:rPr>
          <w:sz w:val="22"/>
        </w:rPr>
        <w:t>¿El Asesor debe poder sugerir acciones en la UI (ej: 'Crear RAT ahora')?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Alucinaciones del LLM sobre la ley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Endpoint embeddings MiniMax no disponible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Adopción baja por usuarios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Costos de embeddings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Confusión de branding con producto separado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RAG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Retrieval-Augmented Generation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Arquitectura que combina recuperación de documentos con generación de LLM.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pgvector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Extensión de PostgreSQL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Soporte nativo de vectores y búsqueda por similitud en Neon.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Embedding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Vector numérico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Representación densa (1536 dim) de un texto para búsqueda semántica.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Top-k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k resultados más similares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Parámetro de retrieval: cantidad de chunks a pasar al LLM.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Visión y Alcance del Asesor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0D4F3C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Visión y Alcance del Asesor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4F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C8A9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