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0D4F3C"/>
          <w:left w:val="single" w:sz="16" w:space="4" w:color="0D4F3C"/>
          <w:bottom w:val="single" w:sz="16" w:space="4" w:color="0D4F3C"/>
          <w:right w:val="single" w:sz="16" w:space="4" w:color="0D4F3C"/>
        </w:pBdr>
        <w:shd w:val="clear" w:color="auto" w:fill="0D4F3C"/>
      </w:pPr>
      <w:r>
        <w:rPr>
          <w:b/>
          <w:color w:val="FFFFFF"/>
          <w:sz w:val="24"/>
        </w:rPr>
        <w:t xml:space="preserve">  ▣  ASESOR CUSTODIO  ·  MÓDULO RAG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ASES-DOC-07</w:t>
      </w:r>
    </w:p>
    <w:p/>
    <w:p/>
    <w:p>
      <w:pPr>
        <w:spacing w:after="240"/>
        <w:jc w:val="center"/>
      </w:pPr>
      <w:r>
        <w:rPr>
          <w:b/>
          <w:color w:val="0D4F3C"/>
          <w:sz w:val="56"/>
        </w:rPr>
        <w:t>DESPLIEGUE Y MANUAL TÉCNICO</w:t>
      </w:r>
    </w:p>
    <w:p>
      <w:pPr>
        <w:spacing w:after="480"/>
        <w:jc w:val="center"/>
      </w:pPr>
      <w:r>
        <w:rPr>
          <w:i/>
          <w:color w:val="C8A951"/>
          <w:sz w:val="28"/>
        </w:rPr>
        <w:t>Variables · Instalación · Estructura · Tuning del Asesor</w:t>
      </w:r>
    </w:p>
    <w:p/>
    <w:p/>
    <w:p>
      <w:pPr>
        <w:jc w:val="center"/>
        <w:pBdr>
          <w:bottom w:val="single" w:sz="12" w:space="1" w:color="C8A951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0D4F3C"/>
          <w:sz w:val="22"/>
        </w:rPr>
        <w:t xml:space="preserve">Versión:  </w:t>
      </w:r>
      <w:r>
        <w:rPr>
          <w:color w:val="404040"/>
          <w:sz w:val="22"/>
        </w:rPr>
        <w:t>v1.0</w:t>
      </w:r>
    </w:p>
    <w:p>
      <w:pPr>
        <w:spacing w:after="40"/>
        <w:jc w:val="center"/>
      </w:pPr>
      <w:r>
        <w:rPr>
          <w:b/>
          <w:color w:val="0D4F3C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0D4F3C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0D4F3C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0D4F3C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0D4F3C"/>
          <w:sz w:val="22"/>
        </w:rPr>
        <w:t xml:space="preserve">Producto:  </w:t>
      </w:r>
      <w:r>
        <w:rPr>
          <w:color w:val="404040"/>
          <w:sz w:val="22"/>
        </w:rPr>
        <w:t>Custodio Asesor (RAG)</w:t>
      </w:r>
    </w:p>
    <w:p>
      <w:pPr>
        <w:spacing w:after="40"/>
        <w:jc w:val="center"/>
      </w:pPr>
      <w:r>
        <w:rPr>
          <w:b/>
          <w:color w:val="0D4F3C"/>
          <w:sz w:val="22"/>
        </w:rPr>
        <w:t xml:space="preserve">Producto padre: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0D4F3C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0D4F3C"/>
          <w:left w:val="single" w:sz="16" w:space="4" w:color="0D4F3C"/>
          <w:bottom w:val="single" w:sz="16" w:space="4" w:color="0D4F3C"/>
          <w:right w:val="single" w:sz="16" w:space="4" w:color="0D4F3C"/>
        </w:pBdr>
        <w:shd w:val="clear" w:color="auto" w:fill="0D4F3C"/>
      </w:pPr>
      <w:r>
        <w:rPr>
          <w:b/>
          <w:color w:val="FFFFFF"/>
          <w:sz w:val="20"/>
        </w:rPr>
        <w:t xml:space="preserve">  TU ASESOR EXPERTO EN PROTECCIÓN DE DATOS — LEY 21.719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0D4F3C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0D4F3C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0D4F3C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0D4F3C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Creación inicial del documento a partir de la auditoría previa AUDITORIA_ASES_V1.0.md.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0D4F3C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0D4F3C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Despliegue y Manual Técnico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Asesor (RAG)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Requisitos previos</w:t>
      </w:r>
    </w:p>
    <w:p>
      <w:pPr>
        <w:pStyle w:val="ListBullet"/>
        <w:spacing w:after="40"/>
        <w:ind w:left="340"/>
      </w:pPr>
      <w:r>
        <w:rPr>
          <w:sz w:val="22"/>
        </w:rPr>
        <w:t>Python 3.9+ (recomendado 3.11).</w:t>
      </w:r>
    </w:p>
    <w:p>
      <w:pPr>
        <w:pStyle w:val="ListBullet"/>
        <w:spacing w:after="40"/>
        <w:ind w:left="340"/>
      </w:pPr>
      <w:r>
        <w:rPr>
          <w:sz w:val="22"/>
        </w:rPr>
        <w:t>PostgreSQL 14+ con la extensión pgvector instalada (Neon ya la soporta).</w:t>
      </w:r>
    </w:p>
    <w:p>
      <w:pPr>
        <w:pStyle w:val="ListBullet"/>
        <w:spacing w:after="40"/>
        <w:ind w:left="340"/>
      </w:pPr>
      <w:r>
        <w:rPr>
          <w:sz w:val="22"/>
        </w:rPr>
        <w:t>Acceso a MiniMax o OpenAI para embeddings + LLM.</w:t>
      </w:r>
    </w:p>
    <w:p>
      <w:pPr>
        <w:pStyle w:val="ListBullet"/>
        <w:spacing w:after="40"/>
        <w:ind w:left="340"/>
      </w:pPr>
      <w:r>
        <w:rPr>
          <w:sz w:val="22"/>
        </w:rPr>
        <w:t>Backend de Custodio RAT Manager funcionando (puerto 8002 en local).</w:t>
      </w:r>
    </w:p>
    <w:p>
      <w:pPr>
        <w:pStyle w:val="Heading1"/>
      </w:pPr>
      <w:r>
        <w:t>2. Variables de entorno</w:t>
      </w:r>
    </w:p>
    <w:p>
      <w:r>
        <w:rPr>
          <w:sz w:val="22"/>
        </w:rPr>
        <w:t>Las variables del Asesor usan el prefijo ASESOR_*. Se añaden al archivo backend/.env (local) o a las Environment Variables de Vercel (producción).</w:t>
      </w:r>
    </w:p>
    <w:p>
      <w:pPr>
        <w:spacing w:before="80" w:after="40"/>
      </w:pPr>
      <w:r>
        <w:rPr>
          <w:b/>
          <w:i/>
          <w:color w:val="0D4F3C"/>
          <w:sz w:val="18"/>
        </w:rPr>
        <w:t xml:space="preserve">Tabla 1 — </w:t>
      </w:r>
      <w:r>
        <w:rPr>
          <w:i/>
          <w:color w:val="404040"/>
          <w:sz w:val="18"/>
        </w:rPr>
        <w:t>Variables de entorno del Asesor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Variable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Requerida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Default</w:t>
            </w:r>
          </w:p>
        </w:tc>
        <w:tc>
          <w:tcPr>
            <w:tcW w:type="dxa" w:w="4020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Descripción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/>
                <w:sz w:val="20"/>
              </w:rPr>
              <w:t>ASESOR_ENABLED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true</w:t>
            </w:r>
          </w:p>
        </w:tc>
        <w:tc>
          <w:tcPr>
            <w:tcW w:type="dxa" w:w="4020"/>
            <w:vAlign w:val="top"/>
          </w:tcPr>
          <w:p>
            <w:r/>
            <w:r>
              <w:rPr>
                <w:sz w:val="20"/>
              </w:rPr>
              <w:t>Switch maestro del módulo.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/>
                <w:sz w:val="20"/>
              </w:rPr>
              <w:t>ASESOR_TOP_K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4020"/>
            <w:vAlign w:val="top"/>
          </w:tcPr>
          <w:p>
            <w:r/>
            <w:r>
              <w:rPr>
                <w:sz w:val="20"/>
              </w:rPr>
              <w:t>Cantidad de chunks a recuperar.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/>
                <w:sz w:val="20"/>
              </w:rPr>
              <w:t>ASESOR_CHUNK_SIZE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800</w:t>
            </w:r>
          </w:p>
        </w:tc>
        <w:tc>
          <w:tcPr>
            <w:tcW w:type="dxa" w:w="4020"/>
            <w:vAlign w:val="top"/>
          </w:tcPr>
          <w:p>
            <w:r/>
            <w:r>
              <w:rPr>
                <w:sz w:val="20"/>
              </w:rPr>
              <w:t>Tokens por chunk.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/>
                <w:sz w:val="20"/>
              </w:rPr>
              <w:t>ASESOR_CHUNK_OVERLAP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100</w:t>
            </w:r>
          </w:p>
        </w:tc>
        <w:tc>
          <w:tcPr>
            <w:tcW w:type="dxa" w:w="4020"/>
            <w:vAlign w:val="top"/>
          </w:tcPr>
          <w:p>
            <w:r/>
            <w:r>
              <w:rPr>
                <w:sz w:val="20"/>
              </w:rPr>
              <w:t>Overlap entre chunks adyacentes.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/>
                <w:sz w:val="20"/>
              </w:rPr>
              <w:t>ASESOR_MIN_SIMILARITY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0.7</w:t>
            </w:r>
          </w:p>
        </w:tc>
        <w:tc>
          <w:tcPr>
            <w:tcW w:type="dxa" w:w="4020"/>
            <w:vAlign w:val="top"/>
          </w:tcPr>
          <w:p>
            <w:r/>
            <w:r>
              <w:rPr>
                <w:sz w:val="20"/>
              </w:rPr>
              <w:t>Score mínimo de cosine para considerar relevante.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/>
                <w:sz w:val="20"/>
              </w:rPr>
              <w:t>ASESOR_LLM_TEMPERATURE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0.2</w:t>
            </w:r>
          </w:p>
        </w:tc>
        <w:tc>
          <w:tcPr>
            <w:tcW w:type="dxa" w:w="4020"/>
            <w:vAlign w:val="top"/>
          </w:tcPr>
          <w:p>
            <w:r/>
            <w:r>
              <w:rPr>
                <w:sz w:val="20"/>
              </w:rPr>
              <w:t>Temperatura del LLM (baja = más determinista).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/>
                <w:sz w:val="20"/>
              </w:rPr>
              <w:t>ASESOR_LLM_MAX_TOKENS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800</w:t>
            </w:r>
          </w:p>
        </w:tc>
        <w:tc>
          <w:tcPr>
            <w:tcW w:type="dxa" w:w="4020"/>
            <w:vAlign w:val="top"/>
          </w:tcPr>
          <w:p>
            <w:r/>
            <w:r>
              <w:rPr>
                <w:sz w:val="20"/>
              </w:rPr>
              <w:t>Máximo de tokens en la respuesta.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/>
                <w:sz w:val="20"/>
              </w:rPr>
              <w:t>ASESOR_CORPUS_PATH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./asesor_corpus</w:t>
            </w:r>
          </w:p>
        </w:tc>
        <w:tc>
          <w:tcPr>
            <w:tcW w:type="dxa" w:w="4020"/>
            <w:vAlign w:val="top"/>
          </w:tcPr>
          <w:p>
            <w:r/>
            <w:r>
              <w:rPr>
                <w:sz w:val="20"/>
              </w:rPr>
              <w:t>Ruta al corpus a indexar.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/>
                <w:sz w:val="20"/>
              </w:rPr>
              <w:t>MINIMAX_EMBEDDING_MODEL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text-embedding-v1</w:t>
            </w:r>
          </w:p>
        </w:tc>
        <w:tc>
          <w:tcPr>
            <w:tcW w:type="dxa" w:w="4020"/>
            <w:vAlign w:val="top"/>
          </w:tcPr>
          <w:p>
            <w:r/>
            <w:r>
              <w:rPr>
                <w:sz w:val="20"/>
              </w:rPr>
              <w:t>Modelo de embeddings MiniMax.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/>
                <w:sz w:val="20"/>
              </w:rPr>
              <w:t>OPENAI_EMBEDDING_MODEL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text-embedding-3-small</w:t>
            </w:r>
          </w:p>
        </w:tc>
        <w:tc>
          <w:tcPr>
            <w:tcW w:type="dxa" w:w="4020"/>
            <w:vAlign w:val="top"/>
          </w:tcPr>
          <w:p>
            <w:r/>
            <w:r>
              <w:rPr>
                <w:sz w:val="20"/>
              </w:rPr>
              <w:t>Modelo fallback OpenAI.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/>
                <w:sz w:val="20"/>
              </w:rPr>
              <w:t>MINIMAX_API_KEY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Sí (si MiniMax)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4020"/>
            <w:vAlign w:val="top"/>
          </w:tcPr>
          <w:p>
            <w:r/>
            <w:r>
              <w:rPr>
                <w:sz w:val="20"/>
              </w:rPr>
              <w:t>API key de MiniMax (ya existe).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/>
                <w:sz w:val="20"/>
              </w:rPr>
              <w:t>OPENAI_API_KEY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Sí (si OpenAI)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4020"/>
            <w:vAlign w:val="top"/>
          </w:tcPr>
          <w:p>
            <w:r/>
            <w:r>
              <w:rPr>
                <w:sz w:val="20"/>
              </w:rPr>
              <w:t>API key de OpenAI (ya existe).</w:t>
            </w:r>
          </w:p>
        </w:tc>
      </w:tr>
    </w:tbl>
    <w:p>
      <w:pPr>
        <w:pStyle w:val="Heading1"/>
      </w:pPr>
      <w:r>
        <w:t>3. Instalación</w:t>
      </w:r>
    </w:p>
    <w:p>
      <w:pPr>
        <w:pStyle w:val="Heading2"/>
      </w:pPr>
      <w:r>
        <w:t>3.1 Dependencias nuevas en requirements.txt</w:t>
      </w:r>
    </w:p>
    <w:p>
      <w:r>
        <w:rPr>
          <w:sz w:val="22"/>
        </w:rPr>
        <w:t>Añadir al archivo backend/requirements.txt:</w:t>
      </w:r>
    </w:p>
    <w:p>
      <w:r>
        <w:rPr>
          <w:i/>
          <w:sz w:val="22"/>
        </w:rPr>
        <w:t xml:space="preserve">    pgvector==0.3.6</w:t>
      </w:r>
    </w:p>
    <w:p>
      <w:r>
        <w:rPr>
          <w:i/>
          <w:sz w:val="22"/>
        </w:rPr>
        <w:t xml:space="preserve">    tiktoken==0.7.0</w:t>
      </w:r>
    </w:p>
    <w:p>
      <w:r>
        <w:rPr>
          <w:i/>
          <w:sz w:val="22"/>
        </w:rPr>
        <w:t xml:space="preserve">    pypdf==4.0.1</w:t>
      </w:r>
    </w:p>
    <w:p>
      <w:r>
        <w:rPr>
          <w:i/>
          <w:sz w:val="22"/>
        </w:rPr>
        <w:t xml:space="preserve">    numpy==1.26.4</w:t>
      </w:r>
    </w:p>
    <w:p>
      <w:r>
        <w:rPr>
          <w:sz w:val="22"/>
        </w:rPr>
        <w:t>Luego instalar:</w:t>
      </w:r>
    </w:p>
    <w:p>
      <w:r>
        <w:rPr>
          <w:i/>
          <w:sz w:val="22"/>
        </w:rPr>
        <w:t xml:space="preserve">    cd backend</w:t>
      </w:r>
    </w:p>
    <w:p>
      <w:r>
        <w:rPr>
          <w:i/>
          <w:sz w:val="22"/>
        </w:rPr>
        <w:t xml:space="preserve">    venv\Scripts\activate</w:t>
      </w:r>
    </w:p>
    <w:p>
      <w:r>
        <w:rPr>
          <w:i/>
          <w:sz w:val="22"/>
        </w:rPr>
        <w:t xml:space="preserve">    pip install -r requirements.txt</w:t>
      </w:r>
    </w:p>
    <w:p>
      <w:pPr>
        <w:pStyle w:val="Heading2"/>
      </w:pPr>
      <w:r>
        <w:t>3.2 Activar pgvector en Neon</w:t>
      </w:r>
    </w:p>
    <w:p>
      <w:r>
        <w:rPr>
          <w:sz w:val="22"/>
        </w:rPr>
        <w:t>En la consola SQL de Neon (o vía psql):</w:t>
      </w:r>
    </w:p>
    <w:p>
      <w:r>
        <w:rPr>
          <w:i/>
          <w:sz w:val="22"/>
        </w:rPr>
        <w:t xml:space="preserve">    CREATE EXTENSION IF NOT EXISTS vector;</w:t>
      </w:r>
    </w:p>
    <w:p>
      <w:pPr>
        <w:pBdr>
          <w:top w:val="single" w:sz="16" w:space="4" w:color="BF8F00"/>
          <w:left w:val="single" w:sz="16" w:space="4" w:color="BF8F00"/>
          <w:bottom w:val="single" w:sz="16" w:space="4" w:color="BF8F00"/>
          <w:right w:val="single" w:sz="16" w:space="4" w:color="BF8F00"/>
        </w:pBdr>
        <w:shd w:val="clear" w:color="auto" w:fill="FFF8E5"/>
        <w:spacing w:before="80" w:after="80"/>
        <w:ind w:left="113" w:right="113"/>
      </w:pPr>
      <w:r>
        <w:rPr>
          <w:b/>
          <w:color w:val="BF8F00"/>
          <w:sz w:val="20"/>
        </w:rPr>
        <w:t xml:space="preserve">⚠  Verificar primero.  </w:t>
      </w:r>
      <w:r>
        <w:rPr>
          <w:color w:val="404040"/>
          <w:sz w:val="20"/>
        </w:rPr>
        <w:t>Si la extensión ya está habilitada, el comando no hace nada. Si la cuenta Neon no la soporta, contactar a soporte antes de continuar.</w:t>
      </w:r>
    </w:p>
    <w:p>
      <w:pPr>
        <w:pStyle w:val="Heading2"/>
      </w:pPr>
      <w:r>
        <w:t>3.3 Crear tabla asesor_chunks</w:t>
      </w:r>
    </w:p>
    <w:p>
      <w:r>
        <w:rPr>
          <w:sz w:val="22"/>
        </w:rPr>
        <w:t>Aplicar la migración del Asesor:</w:t>
      </w:r>
    </w:p>
    <w:p>
      <w:r>
        <w:rPr>
          <w:i/>
          <w:sz w:val="22"/>
        </w:rPr>
        <w:t xml:space="preserve">    cd backend</w:t>
      </w:r>
    </w:p>
    <w:p>
      <w:r>
        <w:rPr>
          <w:i/>
          <w:sz w:val="22"/>
        </w:rPr>
        <w:t xml:space="preserve">    alembic upgrade head   # o el método de migración usado en el proyecto</w:t>
      </w:r>
    </w:p>
    <w:p>
      <w:pPr>
        <w:pStyle w:val="Heading2"/>
      </w:pPr>
      <w:r>
        <w:t>3.4 Copiar el corpus inicial</w:t>
      </w:r>
    </w:p>
    <w:p>
      <w:r>
        <w:rPr>
          <w:sz w:val="22"/>
        </w:rPr>
        <w:t>El corpus se mantiene en backend/asesor_corpus/ (gitignored). Copiar los archivos de la ley y manuales:</w:t>
      </w:r>
    </w:p>
    <w:p>
      <w:r>
        <w:rPr>
          <w:i/>
          <w:sz w:val="22"/>
        </w:rPr>
        <w:t xml:space="preserve">    cp paso/ley_21719/ley_21719_texto.txt backend/asesor_corpus/</w:t>
      </w:r>
    </w:p>
    <w:p>
      <w:r>
        <w:rPr>
          <w:i/>
          <w:sz w:val="22"/>
        </w:rPr>
        <w:t xml:space="preserve">    cp docs/MANUAL_USUARIO_FUNCIONAL.md backend/asesor_corpus/</w:t>
      </w:r>
    </w:p>
    <w:p>
      <w:r>
        <w:rPr>
          <w:i/>
          <w:sz w:val="22"/>
        </w:rPr>
        <w:t xml:space="preserve">    cp -r docs/casos_de_uso/*.md backend/asesor_corpus/casos_de_uso/</w:t>
      </w:r>
    </w:p>
    <w:p>
      <w:pPr>
        <w:pStyle w:val="Heading2"/>
      </w:pPr>
      <w:r>
        <w:t>3.5 Indexar el corpus</w:t>
      </w:r>
    </w:p>
    <w:p>
      <w:r>
        <w:rPr>
          <w:sz w:val="22"/>
        </w:rPr>
        <w:t>Con el backend corriendo, ejecutar como superadmin:</w:t>
      </w:r>
    </w:p>
    <w:p>
      <w:r>
        <w:rPr>
          <w:i/>
          <w:sz w:val="22"/>
        </w:rPr>
        <w:t xml:space="preserve">    curl -X POST http://localhost:8002/admin/asesor/index \</w:t>
      </w:r>
    </w:p>
    <w:p>
      <w:r>
        <w:rPr>
          <w:i/>
          <w:sz w:val="22"/>
        </w:rPr>
        <w:t xml:space="preserve">         -H "Authorization: Bearer &lt;token&gt;" \</w:t>
      </w:r>
    </w:p>
    <w:p>
      <w:r>
        <w:rPr>
          <w:i/>
          <w:sz w:val="22"/>
        </w:rPr>
        <w:t xml:space="preserve">         -H "Content-Type: application/json" \</w:t>
      </w:r>
    </w:p>
    <w:p>
      <w:r>
        <w:rPr>
          <w:i/>
          <w:sz w:val="22"/>
        </w:rPr>
        <w:t xml:space="preserve">         -d '{"force": false}'</w:t>
      </w:r>
    </w:p>
    <w:p>
      <w:pPr>
        <w:pStyle w:val="Heading1"/>
      </w:pPr>
      <w:r>
        <w:t>4. Estructura de código del Asesor</w:t>
      </w:r>
    </w:p>
    <w:p>
      <w:r>
        <w:rPr>
          <w:sz w:val="22"/>
        </w:rPr>
        <w:t>Archivos nuevos (backend):</w:t>
      </w:r>
    </w:p>
    <w:p>
      <w:pPr>
        <w:spacing w:before="80" w:after="40"/>
      </w:pPr>
      <w:r>
        <w:rPr>
          <w:b/>
          <w:i/>
          <w:color w:val="0D4F3C"/>
          <w:sz w:val="18"/>
        </w:rPr>
        <w:t xml:space="preserve">Tabla 1 — </w:t>
      </w:r>
      <w:r>
        <w:rPr>
          <w:i/>
          <w:color w:val="404040"/>
          <w:sz w:val="18"/>
        </w:rPr>
        <w:t>Archivos del Asesor en backend/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Ruta</w:t>
            </w:r>
          </w:p>
        </w:tc>
        <w:tc>
          <w:tcPr>
            <w:tcW w:type="dxa" w:w="6571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Responsabilidad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b/>
                <w:sz w:val="20"/>
              </w:rPr>
              <w:t>backend/app/services/asesor_embedder.py</w:t>
            </w:r>
          </w:p>
        </w:tc>
        <w:tc>
          <w:tcPr>
            <w:tcW w:type="dxa" w:w="6571"/>
            <w:vAlign w:val="top"/>
          </w:tcPr>
          <w:p>
            <w:r/>
            <w:r>
              <w:rPr>
                <w:sz w:val="20"/>
              </w:rPr>
              <w:t>Genera embeddings vía MiniMax u OpenAI.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b/>
                <w:sz w:val="20"/>
              </w:rPr>
              <w:t>backend/app/services/asesor_chunker.py</w:t>
            </w:r>
          </w:p>
        </w:tc>
        <w:tc>
          <w:tcPr>
            <w:tcW w:type="dxa" w:w="6571"/>
            <w:vAlign w:val="top"/>
          </w:tcPr>
          <w:p>
            <w:r/>
            <w:r>
              <w:rPr>
                <w:sz w:val="20"/>
              </w:rPr>
              <w:t>Divide documentos en chunks de 800 tokens.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b/>
                <w:sz w:val="20"/>
              </w:rPr>
              <w:t>backend/app/services/asesor_indexer.py</w:t>
            </w:r>
          </w:p>
        </w:tc>
        <w:tc>
          <w:tcPr>
            <w:tcW w:type="dxa" w:w="6571"/>
            <w:vAlign w:val="top"/>
          </w:tcPr>
          <w:p>
            <w:r/>
            <w:r>
              <w:rPr>
                <w:sz w:val="20"/>
              </w:rPr>
              <w:t>Recorre corpus, calcula hash, UPSERT.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b/>
                <w:sz w:val="20"/>
              </w:rPr>
              <w:t>backend/app/services/asesor_retriever.py</w:t>
            </w:r>
          </w:p>
        </w:tc>
        <w:tc>
          <w:tcPr>
            <w:tcW w:type="dxa" w:w="6571"/>
            <w:vAlign w:val="top"/>
          </w:tcPr>
          <w:p>
            <w:r/>
            <w:r>
              <w:rPr>
                <w:sz w:val="20"/>
              </w:rPr>
              <w:t>Cosine top-k sobre pgvector.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b/>
                <w:sz w:val="20"/>
              </w:rPr>
              <w:t>backend/app/services/asesor_service.py</w:t>
            </w:r>
          </w:p>
        </w:tc>
        <w:tc>
          <w:tcPr>
            <w:tcW w:type="dxa" w:w="6571"/>
            <w:vAlign w:val="top"/>
          </w:tcPr>
          <w:p>
            <w:r/>
            <w:r>
              <w:rPr>
                <w:sz w:val="20"/>
              </w:rPr>
              <w:t>Orquesta retrieve + LLM + audit.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b/>
                <w:sz w:val="20"/>
              </w:rPr>
              <w:t>backend/app/routes/asesor.py</w:t>
            </w:r>
          </w:p>
        </w:tc>
        <w:tc>
          <w:tcPr>
            <w:tcW w:type="dxa" w:w="6571"/>
            <w:vAlign w:val="top"/>
          </w:tcPr>
          <w:p>
            <w:r/>
            <w:r>
              <w:rPr>
                <w:sz w:val="20"/>
              </w:rPr>
              <w:t>POST /asesor/ask.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b/>
                <w:sz w:val="20"/>
              </w:rPr>
              <w:t>backend/app/routes/admin_asesor.py</w:t>
            </w:r>
          </w:p>
        </w:tc>
        <w:tc>
          <w:tcPr>
            <w:tcW w:type="dxa" w:w="6571"/>
            <w:vAlign w:val="top"/>
          </w:tcPr>
          <w:p>
            <w:r/>
            <w:r>
              <w:rPr>
                <w:sz w:val="20"/>
              </w:rPr>
              <w:t>POST /admin/asesor/index, GET stats, DELETE.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b/>
                <w:sz w:val="20"/>
              </w:rPr>
              <w:t>backend/app/models/asesor.py</w:t>
            </w:r>
          </w:p>
        </w:tc>
        <w:tc>
          <w:tcPr>
            <w:tcW w:type="dxa" w:w="6571"/>
            <w:vAlign w:val="top"/>
          </w:tcPr>
          <w:p>
            <w:r/>
            <w:r>
              <w:rPr>
                <w:sz w:val="20"/>
              </w:rPr>
              <w:t>Modelo SQLAlchemy de asesor_chunks.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b/>
                <w:sz w:val="20"/>
              </w:rPr>
              <w:t>backend/app/schemas/asesor.py</w:t>
            </w:r>
          </w:p>
        </w:tc>
        <w:tc>
          <w:tcPr>
            <w:tcW w:type="dxa" w:w="6571"/>
            <w:vAlign w:val="top"/>
          </w:tcPr>
          <w:p>
            <w:r/>
            <w:r>
              <w:rPr>
                <w:sz w:val="20"/>
              </w:rPr>
              <w:t>Schemas Pydantic.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b/>
                <w:sz w:val="20"/>
              </w:rPr>
              <w:t>backend/asesor_corpus/</w:t>
            </w:r>
          </w:p>
        </w:tc>
        <w:tc>
          <w:tcPr>
            <w:tcW w:type="dxa" w:w="6571"/>
            <w:vAlign w:val="top"/>
          </w:tcPr>
          <w:p>
            <w:r/>
            <w:r>
              <w:rPr>
                <w:sz w:val="20"/>
              </w:rPr>
              <w:t>Corpus a indexar (gitignored).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b/>
                <w:sz w:val="20"/>
              </w:rPr>
              <w:t>backend/tests/test_asesor_*.py</w:t>
            </w:r>
          </w:p>
        </w:tc>
        <w:tc>
          <w:tcPr>
            <w:tcW w:type="dxa" w:w="6571"/>
            <w:vAlign w:val="top"/>
          </w:tcPr>
          <w:p>
            <w:r/>
            <w:r>
              <w:rPr>
                <w:sz w:val="20"/>
              </w:rPr>
              <w:t>Tests pytest del módulo.</w:t>
            </w:r>
          </w:p>
        </w:tc>
      </w:tr>
    </w:tbl>
    <w:p>
      <w:r>
        <w:rPr>
          <w:sz w:val="22"/>
        </w:rPr>
        <w:t>Archivos nuevos (frontend-next):</w:t>
      </w:r>
    </w:p>
    <w:p>
      <w:pPr>
        <w:spacing w:before="80" w:after="40"/>
      </w:pPr>
      <w:r>
        <w:rPr>
          <w:b/>
          <w:i/>
          <w:color w:val="0D4F3C"/>
          <w:sz w:val="18"/>
        </w:rPr>
        <w:t xml:space="preserve">Tabla 1 — </w:t>
      </w:r>
      <w:r>
        <w:rPr>
          <w:i/>
          <w:color w:val="404040"/>
          <w:sz w:val="18"/>
        </w:rPr>
        <w:t>Archivos del Asesor en frontend-next/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Ruta</w:t>
            </w:r>
          </w:p>
        </w:tc>
        <w:tc>
          <w:tcPr>
            <w:tcW w:type="dxa" w:w="6571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Responsabilidad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b/>
                <w:sz w:val="20"/>
              </w:rPr>
              <w:t>frontend-next/app/(app)/asesor/page.tsx</w:t>
            </w:r>
          </w:p>
        </w:tc>
        <w:tc>
          <w:tcPr>
            <w:tcW w:type="dxa" w:w="6571"/>
            <w:vAlign w:val="top"/>
          </w:tcPr>
          <w:p>
            <w:r/>
            <w:r>
              <w:rPr>
                <w:sz w:val="20"/>
              </w:rPr>
              <w:t>Página principal del Asesor.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b/>
                <w:sz w:val="20"/>
              </w:rPr>
              <w:t>frontend-next/components/asesor/AsesorChat.tsx</w:t>
            </w:r>
          </w:p>
        </w:tc>
        <w:tc>
          <w:tcPr>
            <w:tcW w:type="dxa" w:w="6571"/>
            <w:vAlign w:val="top"/>
          </w:tcPr>
          <w:p>
            <w:r/>
            <w:r>
              <w:rPr>
                <w:sz w:val="20"/>
              </w:rPr>
              <w:t>Interfaz de chat.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b/>
                <w:sz w:val="20"/>
              </w:rPr>
              <w:t>frontend-next/components/asesor/SourceChip.tsx</w:t>
            </w:r>
          </w:p>
        </w:tc>
        <w:tc>
          <w:tcPr>
            <w:tcW w:type="dxa" w:w="6571"/>
            <w:vAlign w:val="top"/>
          </w:tcPr>
          <w:p>
            <w:r/>
            <w:r>
              <w:rPr>
                <w:sz w:val="20"/>
              </w:rPr>
              <w:t>Chip clicable de fuente.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b/>
                <w:sz w:val="20"/>
              </w:rPr>
              <w:t>frontend-next/components/asesor/CorpusBadge.tsx</w:t>
            </w:r>
          </w:p>
        </w:tc>
        <w:tc>
          <w:tcPr>
            <w:tcW w:type="dxa" w:w="6571"/>
            <w:vAlign w:val="top"/>
          </w:tcPr>
          <w:p>
            <w:r/>
            <w:r>
              <w:rPr>
                <w:sz w:val="20"/>
              </w:rPr>
              <w:t>Indicador del corpus activo.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b/>
                <w:sz w:val="20"/>
              </w:rPr>
              <w:t>frontend-next/lib/asesor-api.ts</w:t>
            </w:r>
          </w:p>
        </w:tc>
        <w:tc>
          <w:tcPr>
            <w:tcW w:type="dxa" w:w="6571"/>
            <w:vAlign w:val="top"/>
          </w:tcPr>
          <w:p>
            <w:r/>
            <w:r>
              <w:rPr>
                <w:sz w:val="20"/>
              </w:rPr>
              <w:t>Cliente HTTP del Asesor.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b/>
                <w:sz w:val="20"/>
              </w:rPr>
              <w:t>frontend-next/e2e/asesor.spec.ts</w:t>
            </w:r>
          </w:p>
        </w:tc>
        <w:tc>
          <w:tcPr>
            <w:tcW w:type="dxa" w:w="6571"/>
            <w:vAlign w:val="top"/>
          </w:tcPr>
          <w:p>
            <w:r/>
            <w:r>
              <w:rPr>
                <w:sz w:val="20"/>
              </w:rPr>
              <w:t>Tests Playwright del Asesor.</w:t>
            </w:r>
          </w:p>
        </w:tc>
      </w:tr>
    </w:tbl>
    <w:p>
      <w:pPr>
        <w:pStyle w:val="Heading1"/>
      </w:pPr>
      <w:r>
        <w:t>5. Convenciones de código</w:t>
      </w:r>
    </w:p>
    <w:p>
      <w:pPr>
        <w:pStyle w:val="ListBullet"/>
        <w:spacing w:after="40"/>
        <w:ind w:left="340"/>
      </w:pPr>
      <w:r>
        <w:rPr>
          <w:sz w:val="22"/>
        </w:rPr>
        <w:t>Naming: snake_case en backend, camelCase en frontend, PascalCase en componentes React.</w:t>
      </w:r>
    </w:p>
    <w:p>
      <w:pPr>
        <w:pStyle w:val="ListBullet"/>
        <w:spacing w:after="40"/>
        <w:ind w:left="340"/>
      </w:pPr>
      <w:r>
        <w:rPr>
          <w:sz w:val="22"/>
        </w:rPr>
        <w:t>Docstrings: una línea por función pública + sección Args/Returns cuando aplique.</w:t>
      </w:r>
    </w:p>
    <w:p>
      <w:pPr>
        <w:pStyle w:val="ListBullet"/>
        <w:spacing w:after="40"/>
        <w:ind w:left="340"/>
      </w:pPr>
      <w:r>
        <w:rPr>
          <w:sz w:val="22"/>
        </w:rPr>
        <w:t>Logging: usar logging.getLogger(__name__) con formato JSON en producción.</w:t>
      </w:r>
    </w:p>
    <w:p>
      <w:pPr>
        <w:pStyle w:val="ListBullet"/>
        <w:spacing w:after="40"/>
        <w:ind w:left="340"/>
      </w:pPr>
      <w:r>
        <w:rPr>
          <w:sz w:val="22"/>
        </w:rPr>
        <w:t>Errores: HTTPException con códigos estándar (401, 403, 422, 429, 503).</w:t>
      </w:r>
    </w:p>
    <w:p>
      <w:pPr>
        <w:pStyle w:val="ListBullet"/>
        <w:spacing w:after="40"/>
        <w:ind w:left="340"/>
      </w:pPr>
      <w:r>
        <w:rPr>
          <w:sz w:val="22"/>
        </w:rPr>
        <w:t>Tests: archivo por servicio con prefijo test_asesor_*.py.</w:t>
      </w:r>
    </w:p>
    <w:p>
      <w:pPr>
        <w:pStyle w:val="ListBullet"/>
        <w:spacing w:after="40"/>
        <w:ind w:left="340"/>
      </w:pPr>
      <w:r>
        <w:rPr>
          <w:sz w:val="22"/>
        </w:rPr>
        <w:t>Sin código comentado: si no se usa, se elimina.</w:t>
      </w:r>
    </w:p>
    <w:p>
      <w:pPr>
        <w:pStyle w:val="Heading1"/>
      </w:pPr>
      <w:r>
        <w:t>6. Tuning y operación</w:t>
      </w:r>
    </w:p>
    <w:p>
      <w:pPr>
        <w:spacing w:before="80" w:after="40"/>
      </w:pPr>
      <w:r>
        <w:rPr>
          <w:b/>
          <w:i/>
          <w:color w:val="0D4F3C"/>
          <w:sz w:val="18"/>
        </w:rPr>
        <w:t xml:space="preserve">Tabla 1 — </w:t>
      </w:r>
      <w:r>
        <w:rPr>
          <w:i/>
          <w:color w:val="404040"/>
          <w:sz w:val="18"/>
        </w:rPr>
        <w:t>Parámetros ajustables y su efecto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Parámetro</w:t>
            </w:r>
          </w:p>
        </w:tc>
        <w:tc>
          <w:tcPr>
            <w:tcW w:type="dxa" w:w="3685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Efecto si se sube</w:t>
            </w:r>
          </w:p>
        </w:tc>
        <w:tc>
          <w:tcPr>
            <w:tcW w:type="dxa" w:w="4020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Efecto si se baja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ASESOR_TOP_K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Más contexto al LLM, mejor respuesta, más tokens y latencia.</w:t>
            </w:r>
          </w:p>
        </w:tc>
        <w:tc>
          <w:tcPr>
            <w:tcW w:type="dxa" w:w="4020"/>
            <w:vAlign w:val="top"/>
          </w:tcPr>
          <w:p>
            <w:r/>
            <w:r>
              <w:rPr>
                <w:sz w:val="20"/>
              </w:rPr>
              <w:t>Menos contexto, respuesta más rápida, riesgo de perder info.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ASESOR_CHUNK_SIZE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Menos chunks, cada uno más largo, contexto más amplio por chunk.</w:t>
            </w:r>
          </w:p>
        </w:tc>
        <w:tc>
          <w:tcPr>
            <w:tcW w:type="dxa" w:w="4020"/>
            <w:vAlign w:val="top"/>
          </w:tcPr>
          <w:p>
            <w:r/>
            <w:r>
              <w:rPr>
                <w:sz w:val="20"/>
              </w:rPr>
              <w:t>Más chunks, más granulares, retrieval más fino pero más embeddings.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ASESOR_MIN_SIMILARITY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Solo chunks muy relevantes, menos alucinaciones pero más fallbacks.</w:t>
            </w:r>
          </w:p>
        </w:tc>
        <w:tc>
          <w:tcPr>
            <w:tcW w:type="dxa" w:w="4020"/>
            <w:vAlign w:val="top"/>
          </w:tcPr>
          <w:p>
            <w:r/>
            <w:r>
              <w:rPr>
                <w:sz w:val="20"/>
              </w:rPr>
              <w:t>Más chunks aceptados, más cobertura pero más ruido.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ASESOR_LLM_TEMPERATURE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Respuestas más creativas, menos deterministas.</w:t>
            </w:r>
          </w:p>
        </w:tc>
        <w:tc>
          <w:tcPr>
            <w:tcW w:type="dxa" w:w="4020"/>
            <w:vAlign w:val="top"/>
          </w:tcPr>
          <w:p>
            <w:r/>
            <w:r>
              <w:rPr>
                <w:sz w:val="20"/>
              </w:rPr>
              <w:t>Respuestas más deterministas y conservadoras.</w:t>
            </w:r>
          </w:p>
        </w:tc>
      </w:tr>
    </w:tbl>
    <w:p>
      <w:pPr>
        <w:pStyle w:val="Heading2"/>
      </w:pPr>
      <w:r>
        <w:t>6.1 Operación diaria</w:t>
      </w:r>
    </w:p>
    <w:p>
      <w:pPr>
        <w:pStyle w:val="ListBullet"/>
        <w:spacing w:after="40"/>
        <w:ind w:left="340"/>
      </w:pPr>
      <w:r>
        <w:rPr>
          <w:sz w:val="22"/>
        </w:rPr>
        <w:t>Verificar audit_log: 0 errores críticos.</w:t>
      </w:r>
    </w:p>
    <w:p>
      <w:pPr>
        <w:pStyle w:val="ListBullet"/>
        <w:spacing w:after="40"/>
        <w:ind w:left="340"/>
      </w:pPr>
      <w:r>
        <w:rPr>
          <w:sz w:val="22"/>
        </w:rPr>
        <w:t>Monitorear latencia P95 en logs.</w:t>
      </w:r>
    </w:p>
    <w:p>
      <w:pPr>
        <w:pStyle w:val="ListBullet"/>
        <w:spacing w:after="40"/>
        <w:ind w:left="340"/>
      </w:pPr>
      <w:r>
        <w:rPr>
          <w:sz w:val="22"/>
        </w:rPr>
        <w:t>Revisar /admin/asesor/stats una vez por semana para detectar anomalías de cobertura.</w:t>
      </w:r>
    </w:p>
    <w:p>
      <w:pPr>
        <w:pStyle w:val="ListBullet"/>
        <w:spacing w:after="40"/>
        <w:ind w:left="340"/>
      </w:pPr>
      <w:r>
        <w:rPr>
          <w:sz w:val="22"/>
        </w:rPr>
        <w:t>Si el corpus cambia (nuevo manual, ley actualizada), ejecutar reindex manual.</w:t>
      </w:r>
    </w:p>
    <w:p>
      <w:pPr>
        <w:pStyle w:val="Heading1"/>
      </w:pPr>
      <w:r>
        <w:t>7. Troubleshooting</w:t>
      </w:r>
    </w:p>
    <w:p>
      <w:pPr>
        <w:spacing w:before="80" w:after="40"/>
      </w:pPr>
      <w:r>
        <w:rPr>
          <w:b/>
          <w:i/>
          <w:color w:val="0D4F3C"/>
          <w:sz w:val="18"/>
        </w:rPr>
        <w:t xml:space="preserve">Tabla 1 — </w:t>
      </w:r>
      <w:r>
        <w:rPr>
          <w:i/>
          <w:color w:val="404040"/>
          <w:sz w:val="18"/>
        </w:rPr>
        <w:t>Problemas frecuentes y soluciones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Síntoma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Causa probable</w:t>
            </w:r>
          </w:p>
        </w:tc>
        <w:tc>
          <w:tcPr>
            <w:tcW w:type="dxa" w:w="5153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Solución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/>
                <w:sz w:val="20"/>
              </w:rPr>
              <w:t>El endpoint /asesor/ask retorna 503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No hay LLM configurado</w:t>
            </w:r>
          </w:p>
        </w:tc>
        <w:tc>
          <w:tcPr>
            <w:tcW w:type="dxa" w:w="5153"/>
            <w:vAlign w:val="top"/>
          </w:tcPr>
          <w:p>
            <w:r/>
            <w:r>
              <w:rPr>
                <w:sz w:val="20"/>
              </w:rPr>
              <w:t>Verificar MINIMAX_API_KEY u OPENAI_API_KEY en backend/.env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/>
                <w:sz w:val="20"/>
              </w:rPr>
              <w:t>El embedding de MiniMax falla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Endpoint de embeddings no disponible</w:t>
            </w:r>
          </w:p>
        </w:tc>
        <w:tc>
          <w:tcPr>
            <w:tcW w:type="dxa" w:w="5153"/>
            <w:vAlign w:val="top"/>
          </w:tcPr>
          <w:p>
            <w:r/>
            <w:r>
              <w:rPr>
                <w:sz w:val="20"/>
              </w:rPr>
              <w:t>El sistema cae automáticamente a OpenAI. Revisar logs para confirmar.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/>
                <w:sz w:val="20"/>
              </w:rPr>
              <w:t>Todas las consultas caen al fallback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min_similarity muy alto o corpus vacío</w:t>
            </w:r>
          </w:p>
        </w:tc>
        <w:tc>
          <w:tcPr>
            <w:tcW w:type="dxa" w:w="5153"/>
            <w:vAlign w:val="top"/>
          </w:tcPr>
          <w:p>
            <w:r/>
            <w:r>
              <w:rPr>
                <w:sz w:val="20"/>
              </w:rPr>
              <w:t>Verificar /admin/asesor/stats. Bajar temporalmente ASESOR_MIN_SIMILARITY.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/>
                <w:sz w:val="20"/>
              </w:rPr>
              <w:t>Latencia P95 &gt; 10s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Corpus muy grande o cold start de Vercel</w:t>
            </w:r>
          </w:p>
        </w:tc>
        <w:tc>
          <w:tcPr>
            <w:tcW w:type="dxa" w:w="5153"/>
            <w:vAlign w:val="top"/>
          </w:tcPr>
          <w:p>
            <w:r/>
            <w:r>
              <w:rPr>
                <w:sz w:val="20"/>
              </w:rPr>
              <w:t>Reducir ASESOR_TOP_K o pre-warming de la función serverless.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/>
                <w:sz w:val="20"/>
              </w:rPr>
              <w:t>Error 'extension vector does not exist'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pgvector no activado en Neon</w:t>
            </w:r>
          </w:p>
        </w:tc>
        <w:tc>
          <w:tcPr>
            <w:tcW w:type="dxa" w:w="5153"/>
            <w:vAlign w:val="top"/>
          </w:tcPr>
          <w:p>
            <w:r/>
            <w:r>
              <w:rPr>
                <w:sz w:val="20"/>
              </w:rPr>
              <w:t>Ejecutar CREATE EXTENSION IF NOT EXISTS vector; en la consola SQL.</w:t>
            </w:r>
          </w:p>
        </w:tc>
      </w:tr>
    </w:tbl>
    <w:p>
      <w:pPr>
        <w:pStyle w:val="Heading1"/>
      </w:pPr>
      <w:r>
        <w:t>Apéndice A — Vacíos de información</w:t>
      </w:r>
    </w:p>
    <w:p>
      <w:r>
        <w:rPr>
          <w:i/>
          <w:sz w:val="22"/>
        </w:rPr>
        <w:t>Las siguientes preguntas quedan abiertas al equipo de producto o al Product Owner para ser resueltas en próximas iteraciones:</w:t>
      </w:r>
    </w:p>
    <w:p>
      <w:pPr>
        <w:pStyle w:val="ListBullet"/>
        <w:spacing w:after="40"/>
        <w:ind w:left="340"/>
      </w:pPr>
      <w:r>
        <w:rPr>
          <w:sz w:val="22"/>
        </w:rPr>
        <w:t>¿Vale la pena añadir un script CLI `python -m app.services.asesor_indexer` para reindex desde shell?</w:t>
      </w:r>
    </w:p>
    <w:p>
      <w:pPr>
        <w:pStyle w:val="ListBullet"/>
        <w:spacing w:after="40"/>
        <w:ind w:left="340"/>
      </w:pPr>
      <w:r>
        <w:rPr>
          <w:sz w:val="22"/>
        </w:rPr>
        <w:t>¿El reindex debe ser síncrono (espera al usuario) o asíncrono (task_queue)?</w:t>
      </w:r>
    </w:p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0D4F3C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Endpoint embeddings MiniMax no disponible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R-04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Costos de embeddings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R-07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Latencia alta por embedding + LLM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ASESOR_*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Prefijo de settings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Variables de entorno del módulo.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pgvector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Extensión PostgreSQL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Soporte de vectores en Neon.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Asesor (RAG)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Despliegue y Manual Técnico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0D4F3C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Despliegue y Manual Técnico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v1.0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D4F3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C8A9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