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(CU-048), Admin Asesor IA (CU-049/CU-050)._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(CU-051), Encryption at Rest (CU-052), Service Layer (CU-053), Schemas Pydantic (CU-054)._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(CU-055), Drawer responsive (CU-056), Dashboard clickable (CU-057), Sort estable (CU-058)._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(CU-059 a CU-063). Sprint 2: SLA Alert + Export ARCO (CU-064 a CU-068).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11: 15 campos Tier 1+Tier 2 RAT (CU-069 a CU-071). Iter 12: 9 fixes CRITICOS+ALTOS (CU-072 a CU-077)._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de casos de uso nuevos (v1.6.5)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Endpoint/Flujo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CU-069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Registrar 15 campos Tier 1+Tier 2 en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RF-141 a RF-155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limitado a 10MB en archivo_base_legal y tkt_adjunto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CHECK constraint PostgreSQL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Test IL validado con mínimo 50 caracteres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— validación Pydantic + frontend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Hash SHA-256 automático de evidencia ARCO al resolver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causal_rechazo con enum cerrado (7 causales Art. 29 RL)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— dropdown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Toggle ARCO con touch target 44x44px (mobile)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UI: solicitud_derecho/page.tsx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Notificación APDC automatizada al crear brecha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actualizar_brecha() — email_service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Notificación a titulares automatizada al cerrar brecha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actualizar_brecha() — logging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TKT no puede resolverse sin evidencia ni hash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— HTTP 400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Especificación de interacción actor-sistema.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