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(ADR-14), Admin Asesor IA (ADR-15), MiniMax M2.7._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(S14), Encryption at Rest Fernet (C1), Service Layer (A6), Schemas Pydantic (A10)._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(ADR-16), Drawer responsive (ADR-17), Dashboard clickable (ADR-18), useRef stable callbacks._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(ADR-19). Sprint 2: Task SLA_ALERT_T2 pattern (ADR-20), Export service (ADR-21), GitHub Actions (ADR-22).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11: 15 campos Tier 1+Tier 2 RAT (ADR-23). Iter 12: ADR-24 BYTEA limit 10MB, ADR-25 Test IL min 50chars, ADR-26 Hash SHA-256 auto ARCO, ADR-27 causal_rechazo enum, ADR-28 notificaciones auto brechas._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v1.6.5 se implementó: BYTEA 10MB limit (DoS protection), Test IL min 50 chars (Art. 16 Ley 21.719), Hash SHA-256 auto ARCO, causal_rechazo enum cerrado (Art. 29 RL), notificaciones auto brechas, toggle 44px mobile accessibility. Score: 6.3/10._</w:t>
      </w:r>
    </w:p>
    <w:p>
      <w:pPr>
        <w:pStyle w:val="Heading1"/>
      </w:pPr>
      <w:r>
        <w:t>2. Decisiones de Arquitectura (ADRs) — Novedades v1.6.5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Fecha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Iter 11: Campos Tier 1+Tier 2 RAT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Se agregan 15 campos nuevos a rats: datos_nna, nivel_confidencialidad, estructura_dato, datos_anonimizados, datos_seudonimizados, ciclo_procesamiento, automatizacion, frecuencia, transferencia_nacional, doc_clausulas, medidas_organizativas, mecanismos_eliminacion, tecnica_anonimizacion, origen_dato_portabilidad, fecha_levantamiento. Modelos SQLAlchemy actualizados, schemas Pydantic, migraciones SQL.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BYTEA 10MB limit (DoS protection)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CHECK constraint octet_length &lt;= 10_000_000 en rats.archivo_base_legal_datos y tkt_adjuntos.data. LargeBinary(10_000_000) en SQLAlchemy. Aplica a archivo_base_legal (RAT) y tkt_adjunto.data (ARCO).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Test IL mínimo 50 caracteres (Art. 16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Pydantic Field(min_length=50) en test_interes_legitimo. RatWizard y RatEditForm validan en frontend con toast error. AlertBanner obligatorio en UI.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Hash SHA-256 automático evidencia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PATCH /tkt-solicitud-derecho/{id} computa SHA-256 de todos los adjuntos (tkt_adjuntos) al resolver el ticket. Si no hay adjuntos ni respuesta_texto, retorna HTTP 400.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causal_rechazo enum cerrado (Art. 29 RL)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CausalRechazoEnum con 7 valores: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Notificaciones automatizadas en brechas (Art. 14 bis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actualizar_brecha() envía email al DPO cuando notificado_apdc=true. Logueba cuando notificado_titulares=true (preparado para canal).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Decisión de Arquitectura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Decisión técnica formal que modifica la arquitectura.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