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CUST-DOC-08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API REST</w:t>
      </w:r>
    </w:p>
    <w:p>
      <w:pPr>
        <w:spacing w:after="480"/>
        <w:jc w:val="center"/>
      </w:pPr>
      <w:r>
        <w:rPr>
          <w:i/>
          <w:color w:val="2E74B5"/>
          <w:sz w:val="28"/>
        </w:rPr>
        <w:t>Endpoints, autenticación, Authorization y esquemas de datos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API.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Endpoints completos del módulo RAT y autenticación.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_Endpoints de brechas, ARCO, consentimientos._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/health, RBAC, EIPD._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endpoints,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Gap G1 cerrado: Sprint 2 export endpoints + enqueue-sla-alerts.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_PATCH /tkt-solicitud-derecho/{id} con hash SHA-256 auto + validación evidencia. causal_rechazo como CausalRechazoEnum (7 valores)._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API REST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la API REST de Custodio RAT Manager. Todos los endpoints requieren Bearer JWT (cookie httpOnly). Rbac: superadmin &gt; admin_empresa &gt; usuario.</w:t>
      </w:r>
    </w:p>
    <w:p>
      <w:pPr>
        <w:pStyle w:val="Heading1"/>
      </w:pPr>
      <w:r>
        <w:t>2. Cambios en v1.6.5 — Endpoints relevantes</w:t>
      </w:r>
    </w:p>
    <w:p>
      <w:pPr>
        <w:pStyle w:val="Heading2"/>
      </w:pPr>
      <w:r>
        <w:t>2.1 Módulo TKT — Cambios v1.6.5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/tkt-solicitud-derecho/{ticket_id}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estado, respuesta_texto, causal_rechazo*, prioridad, responsable_id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TktTicketResponse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TKT-ARCO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*causal_rechazo: enum cerrado (CausalRechazoEnum) con 7 valores: falta_identidad, solicitud_manifiestamente_infundada, solicitud_excesiva, falta_poder_notorial, plazo_vencido, identidad_no_verificada, otro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*HTTP 400 si estado=resuelto sin adjuntos ni respuesta_texto (evidencia obligatoria)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*SHA-256 computado automáticamente de tkt_adjuntos al resolver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TKT-###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Tag TKT-ARCO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Endpoints del módulo de ticketing ARCO.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API REST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API REST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