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HU-041 a HU-051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(HU-052 a HU-055), fixes P0 (blacklist, IDOR, CSV)._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(HU-056/HU-057), /health (HU-058), módulo EIPD (HU-059/HU-060)._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descarga con fallback chain (HU-061), Admin Asesor IA (HU-062/HU-063), OCI storage (EP-12)._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(HU-064), Encryption at Rest (HU-065), Service Layer (HU-066), Schemas (HU-067)._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(HU-068), Drawer responsive (HU-069), Dashboard clickable (HU-070), Sort estable (HU-071)._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(HU-072 a HU-078). Sprint 2: SLA Alert T-2d (HU-079 a HU-081), Export ARCO (HU-082 a HU-085).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(HU-086 a HU-089). Iter 12: 9 fixes CRITICOS+ALTOS (HU-090 a HU-097). Score 6.3/10 (RAT 6.2, ARCO 6.8, Brechas 5.9)._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en 6 endpoints RAT (HU-098). base_legal_valida strict (HU-099). ConsentimientoAlert en handleSave (HU-100). Homologación orden campos RAT (HU-101). PDF con títulos sección (HU-102). Encoding UTF-8 fix (HU-103)._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 Custodio RAT Manager en formato 'Como/Quiero/Para', con criterios de aceptación, prioridad y complejidad estimada (Fibonacci). Organizadas por épicas y trazadas a RF-###.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con hash chain.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Gestión de feriados chilenos para días hábiles.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Registro de consentimientos (Art. 12) y Evaluaciones de Impacto (Art. 15 bis).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  <w:u w:val="single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Almacenamiento de documentos en OCI con fallback a BYTEA.</w:t>
            </w:r>
          </w:p>
        </w:tc>
      </w:tr>
    </w:tbl>
    <w:p>
      <w:pPr>
        <w:pStyle w:val="Heading1"/>
      </w:pPr>
      <w:r>
        <w:t>3. Listado de historias de usuario (selección nuevas)</w:t>
      </w:r>
    </w:p>
    <w:p>
      <w:pPr>
        <w:pStyle w:val="Heading2"/>
      </w:pPr>
      <w:r>
        <w:t>3.1 Iter 11: 15 Campos Tier 1+Tier 2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datos NNA en RAT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RF-142-149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nivel confidencialidad y estructura del dato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HU-088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RF-146-149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ciclo de procesamiento y frecuencia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HU-089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RF-150-155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</w:rPr>
              <w:t>Registrar campos operativos Tier 2</w:t>
            </w:r>
          </w:p>
        </w:tc>
      </w:tr>
    </w:tbl>
    <w:p>
      <w:pPr>
        <w:pStyle w:val="Heading2"/>
      </w:pPr>
      <w:r>
        <w:t>3.2 Iter 12: Fixes CRÍTICOS y ALTOS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Validar límite 10MB en archivos BYTEA (archivo_base_legal, tkt_adjunto)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Test IL con mínimo 50 caracteres como validación obligatoria (Art. 16)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Hash SHA-256 de evidencia ARCO computado automáticamente al resolver TKT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causal_rechazo con enum cerrado de 7 causales Art. 29 RL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HU-094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Toggle ARCO con touch target 44x44px para accessibility mobile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HU-095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APDC automatizada al marcar notificado_apdc=true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HU-096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Notificación a titulares automatizada al marcar notificado_titulares=true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HU-097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RF-158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TKT no puede resolverse sin evidencia ni hash (validación HTTP 400)</w:t>
            </w:r>
          </w:p>
        </w:tc>
      </w:tr>
    </w:tbl>
    <w:p>
      <w:pPr>
        <w:pStyle w:val="Heading2"/>
      </w:pPr>
      <w:r>
        <w:t>3.19 Fixes v1.9: IDOR multi-tenant, encoding, homologación y PDF (Julio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EP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Complex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HU-098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IDOR multi-tenant en 6 endpoints RAT: get_rat_for_user() retorna 404 si empresa no coincide, superadmin accede a todos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HU-099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base_legal_valida strict: validación contra enum taxativo (6 opciones)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HU-100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EP-11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ConsentimientoAlert: listarConsentimientos() antes de guardar si datos_sensibles=True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HU-101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Homologación orden campos RAT entre RatDetailView, RatEditForm, RatWizard y PDF (5 pasos canónicos)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HU-102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PDF con títulos de sección (PASO 1— IDENTIFICACIÓN, etc.) con fondo COLOR_PRIMARIO y alertas rojas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HU-103</w:t>
            </w:r>
          </w:p>
        </w:tc>
        <w:tc>
          <w:tcPr>
            <w:tcW w:type="dxa" w:w="56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RF-168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Encoding UTF-8 corregido en backend: ALERTAS_AUDITORIA, regex, base_legal_valida, conftest.py, main.py</w:t>
            </w:r>
          </w:p>
        </w:tc>
      </w:tr>
    </w:tbl>
    <w:p>
      <w:pPr>
        <w:pStyle w:val="Heading1"/>
      </w:pPr>
      <w:r>
        <w:t>4. Épicas del producto (completo)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HUs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HU-001 a HU-009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HU-010 a HU-040, HU-086 a HU-089, HU-098 a HU-099, HU-101, HU-103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HU-041 a HU-049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HU-050 a HU-054, HU-095 a HU-096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HU-060 a HU-068, HU-092 a HU-094, HU-097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HU-070 a HU-080, HU-102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HU-040 a HU-041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HU-080 a HU-082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HU-090 a HU-094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Feriados nacionales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HU-052 a HU-055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Consentimientos y EIPD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HU-056 a HU-059, HU-100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EP-12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OCI Object Storage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HU-061 a HU-063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 implementar autoguardo en wizard RAT?</w:t>
      </w:r>
    </w:p>
    <w:p>
      <w:pPr>
        <w:pStyle w:val="ListBullet"/>
        <w:spacing w:after="40"/>
        <w:ind w:left="340"/>
      </w:pPr>
      <w:r>
        <w:rPr>
          <w:sz w:val="22"/>
        </w:rPr>
        <w:t>¿Se estiman HU con Planning Poker en sesiones de refinement?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Pendientes: Z-01 (security headers), Z-02 (CORS restrictivo), Z-03 (file upload validation).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