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4"/>
        </w:rPr>
        <w:t xml:space="preserve">  ▣  CUSTODIO  ·  CUSTODIO RAT MANAGER  </w:t>
      </w:r>
    </w:p>
    <w:p>
      <w:pPr>
        <w:spacing w:before="720" w:after="120"/>
        <w:jc w:val="center"/>
      </w:pPr>
      <w:r>
        <w:rPr>
          <w:i/>
          <w:color w:val="808080"/>
          <w:sz w:val="22"/>
        </w:rPr>
        <w:t>CUST-DOC-06</w:t>
      </w:r>
    </w:p>
    <w:p/>
    <w:p/>
    <w:p>
      <w:pPr>
        <w:spacing w:after="240"/>
        <w:jc w:val="center"/>
      </w:pPr>
      <w:r>
        <w:rPr>
          <w:b/>
          <w:color w:val="1F497D"/>
          <w:sz w:val="56"/>
        </w:rPr>
        <w:t>ARQUITECTURA DE SOFTWARE</w:t>
      </w:r>
    </w:p>
    <w:p>
      <w:pPr>
        <w:spacing w:after="480"/>
        <w:jc w:val="center"/>
      </w:pPr>
      <w:r>
        <w:rPr>
          <w:i/>
          <w:color w:val="2E74B5"/>
          <w:sz w:val="28"/>
        </w:rPr>
        <w:t>Diagramas C4, despliegue, secuencias y decisiones técnicas</w:t>
      </w:r>
    </w:p>
    <w:p/>
    <w:p/>
    <w:p>
      <w:pPr>
        <w:jc w:val="center"/>
        <w:pBdr>
          <w:bottom w:val="single" w:sz="12" w:space="1" w:color="2E74B5"/>
        </w:pBdr>
      </w:pPr>
      <w:r>
        <w:rPr>
          <w:sz w:val="4"/>
        </w:rPr>
        <w:t xml:space="preserve">  </w:t>
      </w:r>
    </w:p>
    <w:p/>
    <w:p/>
    <w:p>
      <w:pPr>
        <w:spacing w:after="40"/>
        <w:jc w:val="center"/>
      </w:pPr>
      <w:r>
        <w:rPr>
          <w:b/>
          <w:color w:val="1F497D"/>
          <w:sz w:val="22"/>
        </w:rPr>
        <w:t xml:space="preserve">Versión:  </w:t>
      </w:r>
      <w:r>
        <w:rPr>
          <w:color w:val="404040"/>
          <w:sz w:val="22"/>
        </w:rPr>
        <w:t>v1.9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Fecha de emisión:  </w:t>
      </w:r>
      <w:r>
        <w:rPr>
          <w:color w:val="404040"/>
          <w:sz w:val="22"/>
        </w:rPr>
        <w:t>Junio 2026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Autor:  </w:t>
      </w:r>
      <w:r>
        <w:rPr>
          <w:color w:val="404040"/>
          <w:sz w:val="22"/>
        </w:rPr>
        <w:t>Equipo de Desarrollo — Custodio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Empresa responsable:  </w:t>
      </w:r>
      <w:r>
        <w:rPr>
          <w:color w:val="404040"/>
          <w:sz w:val="22"/>
        </w:rPr>
        <w:t>Custodio SpA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Clasificación:  </w:t>
      </w:r>
      <w:r>
        <w:rPr>
          <w:color w:val="404040"/>
          <w:sz w:val="22"/>
        </w:rPr>
        <w:t>Interno — Confidencial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Producto:  </w:t>
      </w:r>
      <w:r>
        <w:rPr>
          <w:color w:val="404040"/>
          <w:sz w:val="22"/>
        </w:rPr>
        <w:t>Custodio RAT Manager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Marco regulatorio:  </w:t>
      </w:r>
      <w:r>
        <w:rPr>
          <w:color w:val="404040"/>
          <w:sz w:val="22"/>
        </w:rPr>
        <w:t>Ley N.° 21.719 — Chile</w:t>
      </w:r>
    </w:p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0"/>
        </w:rPr>
        <w:t xml:space="preserve">  CUMPLIMIENTO DE LA LEY 21.719 DE PROTECCIÓN DE DATOS PERSONALES DE CHILE  </w:t>
      </w:r>
    </w:p>
    <w:p>
      <w:r>
        <w:br w:type="page"/>
      </w:r>
    </w:p>
    <w:p>
      <w:pPr>
        <w:pStyle w:val="Heading1"/>
      </w:pPr>
      <w: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1F497D"/>
          </w:tcPr>
          <w:p>
            <w:r/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1417"/>
            <w:shd w:val="clear" w:color="auto" w:fill="1F497D"/>
          </w:tcPr>
          <w:p>
            <w:r/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701"/>
            <w:shd w:val="clear" w:color="auto" w:fill="1F497D"/>
          </w:tcPr>
          <w:p>
            <w:r/>
            <w:r>
              <w:rPr>
                <w:b/>
                <w:color w:val="FFFFFF"/>
              </w:rPr>
              <w:t>Autor</w:t>
            </w:r>
          </w:p>
        </w:tc>
        <w:tc>
          <w:tcPr>
            <w:tcW w:type="dxa" w:w="6004"/>
            <w:shd w:val="clear" w:color="auto" w:fill="1F497D"/>
          </w:tcPr>
          <w:p>
            <w:r/>
            <w:r>
              <w:rPr>
                <w:b/>
                <w:color w:val="FFFFFF"/>
              </w:rPr>
              <w:t>Cambios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Creación inicial de la arquitectura.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1.1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Token blacklist LRU, hash chain en audit_log, patrón Repository, PII masking, optimización N+1.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1.2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_Token blacklist, IDOR protection, CSV sanitize, hash chain, PII masking._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1.3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_Beta Launch: /health endpoint (ADR-12), RBAC fixes DT-014/DT-015, router fixes CB-01/CB-02._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1.4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_OCI Object Storage con fallback chain (ADR-14), Admin Asesor IA (ADR-15), MiniMax M2.7._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1.5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_Seguridad: CSRF (S14), Encryption at Rest Fernet (C1), Service Layer (A6), Schemas Pydantic (A10)._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1.6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_UI/UX: RatDetailModal (ADR-16), Drawer responsive (ADR-17), Dashboard clickable (ADR-18), useRef stable callbacks._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1.7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Sprint 1: FormADMIN ARCO QW1-QW10 (ADR-19). Sprint 2: Task SLA_ALERT_T2 pattern (ADR-20), Export service (ADR-21), GitHub Actions (ADR-22).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1.8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_Iter 11: 15 campos Tier 1+Tier 2 RAT (ADR-23). Iter 12: ADR-24 BYTEA limit 10MB, ADR-25 Test IL min 50chars, ADR-26 Hash SHA-256 auto ARCO, ADR-27 causal_rechazo enum, ADR-28 notificaciones auto brechas._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1.9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Julio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  <w:u w:val="single"/>
              </w:rPr>
              <w:t>_IDOR multi-tenant get_rat_for_user() en 6 endpoints (ADR-29). base_legal_valida strict (ADR-30). ConsentimientoAlert (ADR-31). Homologación orden campos RAT (ADR-32). PDF títulos sección (ADR-33)._</w:t>
            </w:r>
          </w:p>
        </w:tc>
      </w:tr>
    </w:tbl>
    <w:p/>
    <w:p>
      <w:pPr>
        <w:pStyle w:val="Heading2"/>
      </w:pPr>
      <w:r>
        <w:t>Estado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97D"/>
          </w:tcPr>
          <w:p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986"/>
            <w:shd w:val="clear" w:color="auto" w:fill="1F497D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Nombre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Arquitectura de Software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Producto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Custodio RAT Manager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Marco regulatorio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Ley N.° 21.719 de Protección de Datos Personales (Chile)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color w:val="808080"/>
          <w:sz w:val="18"/>
        </w:rPr>
        <w:t>Sugerencia: en Microsoft Word, presione F9 sobre la tabla para actualizar el contenido y los números de página.</w:t>
      </w:r>
    </w:p>
    <w:p>
      <w:r>
        <w:br w:type="page"/>
      </w:r>
    </w:p>
    <w:p>
      <w:pPr>
        <w:pStyle w:val="Heading1"/>
      </w:pPr>
      <w:r>
        <w:t>1. Resumen ejecutivo</w:t>
      </w:r>
    </w:p>
    <w:p>
      <w:r>
        <w:rPr>
          <w:sz w:val="22"/>
        </w:rPr>
        <w:t>Custodio RAT Manager es una aplicación SaaS B2B para gestión del RAT (Ley 21.719). Arquitectura modular, multi-tenant, desplegada en Vercel con Neon PostgreSQL. Backend: FastAPI serverless. Frontend: Next.js 16 con App Router.</w:t>
      </w:r>
    </w:p>
    <w:p>
      <w:r>
        <w:rPr>
          <w:sz w:val="22"/>
        </w:rPr>
        <w:t>_En v1.9 se implementó: BYTEA 10MB limit (DoS protection), Test IL min 50 chars (Art. 16 Ley 21.719), Hash SHA-256 auto ARCO, causal_rechazo enum cerrado (Art. 29 RL), notificaciones auto brechas, toggle 44px mobile accessibility. Score: 6.3/10._</w:t>
      </w:r>
    </w:p>
    <w:p>
      <w:pPr>
        <w:pStyle w:val="Heading1"/>
      </w:pPr>
      <w:r>
        <w:t>2. Decisiones de Arquitectura (ADRs) — Novedades v1.9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85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198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Título</w:t>
            </w:r>
          </w:p>
        </w:tc>
        <w:tc>
          <w:tcPr>
            <w:tcW w:type="dxa" w:w="85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85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Fecha</w:t>
            </w:r>
          </w:p>
        </w:tc>
        <w:tc>
          <w:tcPr>
            <w:tcW w:type="dxa" w:w="595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Decisión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ADR-23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Iter 11: Campos Tier 1+Tier 2 RAT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2026-06-25</w:t>
            </w:r>
          </w:p>
        </w:tc>
        <w:tc>
          <w:tcPr>
            <w:tcW w:type="dxa" w:w="5953"/>
            <w:vAlign w:val="top"/>
          </w:tcPr>
          <w:p>
            <w:r/>
            <w:r>
              <w:rPr>
                <w:sz w:val="20"/>
                <w:u w:val="single"/>
              </w:rPr>
              <w:t>Se agregan 15 campos nuevos a rats: datos_nna, nivel_confidencialidad, estructura_dato, datos_anonimizados, datos_seudonimizados, ciclo_procesamiento, automatizacion, frecuencia, transferencia_nacional, doc_clausulas, medidas_organizativas, mecanismos_eliminacion, tecnica_anonimizacion, origen_dato_portabilidad, fecha_levantamiento. Modelos SQLAlchemy actualizados, schemas Pydantic, migraciones SQL.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ADR-24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CRÍTICO: BYTEA 10MB limit (DoS protection)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Crítica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2026-06-26</w:t>
            </w:r>
          </w:p>
        </w:tc>
        <w:tc>
          <w:tcPr>
            <w:tcW w:type="dxa" w:w="5953"/>
            <w:vAlign w:val="top"/>
          </w:tcPr>
          <w:p>
            <w:r/>
            <w:r>
              <w:rPr>
                <w:sz w:val="20"/>
                <w:u w:val="single"/>
              </w:rPr>
              <w:t>CHECK constraint octet_length &lt;= 10_000_000 en rats.archivo_base_legal_datos y tkt_adjuntos.data. LargeBinary(10_000_000) en SQLAlchemy. Aplica a archivo_base_legal (RAT) y tkt_adjunto.data (ARCO).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ADR-25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CRÍTICO: Test IL mínimo 50 caracteres (Art. 16 Ley 21.719)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Crítica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2026-06-26</w:t>
            </w:r>
          </w:p>
        </w:tc>
        <w:tc>
          <w:tcPr>
            <w:tcW w:type="dxa" w:w="5953"/>
            <w:vAlign w:val="top"/>
          </w:tcPr>
          <w:p>
            <w:r/>
            <w:r>
              <w:rPr>
                <w:sz w:val="20"/>
                <w:u w:val="single"/>
              </w:rPr>
              <w:t>Pydantic Field(min_length=50) en test_interes_legitimo. RatWizard y RatEditForm validan en frontend con toast error. AlertBanner obligatorio en UI.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ADR-26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CRÍTICO: Hash SHA-256 automático evidencia ARCO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Crítica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2026-06-26</w:t>
            </w:r>
          </w:p>
        </w:tc>
        <w:tc>
          <w:tcPr>
            <w:tcW w:type="dxa" w:w="5953"/>
            <w:vAlign w:val="top"/>
          </w:tcPr>
          <w:p>
            <w:r/>
            <w:r>
              <w:rPr>
                <w:sz w:val="20"/>
                <w:u w:val="single"/>
              </w:rPr>
              <w:t>PATCH /tkt-solicitud-derecho/{id} computa SHA-256 de todos los adjuntos (tkt_adjuntos) al resolver el ticket. Si no hay adjuntos ni respuesta_texto, retorna HTTP 400.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ADR-27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ALTO: causal_rechazo enum cerrado (Art. 29 RL)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2026-06-26</w:t>
            </w:r>
          </w:p>
        </w:tc>
        <w:tc>
          <w:tcPr>
            <w:tcW w:type="dxa" w:w="5953"/>
            <w:vAlign w:val="top"/>
          </w:tcPr>
          <w:p>
            <w:r/>
            <w:r>
              <w:rPr>
                <w:sz w:val="20"/>
                <w:u w:val="single"/>
              </w:rPr>
              <w:t>CausalRechazoEnum con 7 valores: falta_identidad, solicitud_manifiestamente_infundada, solicitud_excesiva, falta_poder_notorial, plazo_vencido, identidad_no_verificada, otro. Dropdown en TicketDrawer.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ADR-28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ALTO: Notificaciones automatizadas en brechas (Art. 14 bis Ley 21.719)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2026-06-26</w:t>
            </w:r>
          </w:p>
        </w:tc>
        <w:tc>
          <w:tcPr>
            <w:tcW w:type="dxa" w:w="5953"/>
            <w:vAlign w:val="top"/>
          </w:tcPr>
          <w:p>
            <w:r/>
            <w:r>
              <w:rPr>
                <w:sz w:val="20"/>
                <w:u w:val="single"/>
              </w:rPr>
              <w:t>actualizar_brecha() envía email al DPO cuando notificado_apdc=true. Logueba cuando notificado_titulares=true (preparado para canal).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ADR-29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CRÍTICO: IDOR multi-tenant en 6 endpoints RAT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Crítica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2026-07-05</w:t>
            </w:r>
          </w:p>
        </w:tc>
        <w:tc>
          <w:tcPr>
            <w:tcW w:type="dxa" w:w="5953"/>
            <w:vAlign w:val="top"/>
          </w:tcPr>
          <w:p>
            <w:r/>
            <w:r>
              <w:rPr>
                <w:sz w:val="20"/>
                <w:u w:val="single"/>
              </w:rPr>
              <w:t>get_rat_for_user() en GET /rats/{id}, PUT /rats/{id}, DELETE /rats/{id}, POST /rats/{id}/revision, POST /rats/{id}/aprobar, GET /rats/{id}/auditoria. Retorna 404 si empresa no coincide, superadmin accede a todos.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ADR-30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ALTO: base_legal_valida strict contra enum taxativo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2026-07-05</w:t>
            </w:r>
          </w:p>
        </w:tc>
        <w:tc>
          <w:tcPr>
            <w:tcW w:type="dxa" w:w="5953"/>
            <w:vAlign w:val="top"/>
          </w:tcPr>
          <w:p>
            <w:r/>
            <w:r>
              <w:rPr>
                <w:sz w:val="20"/>
                <w:u w:val="single"/>
              </w:rPr>
              <w:t>Validación contra 6 opciones: consentimiento, interes_legitimo, contrato, obligacion_legal, tarea_publica, interes_publico. Antes siempre retornaba v.strip().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ADR-31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ALTO: ConsentimientoAlert en RatEditForm.handleSave()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2026-07-05</w:t>
            </w:r>
          </w:p>
        </w:tc>
        <w:tc>
          <w:tcPr>
            <w:tcW w:type="dxa" w:w="5953"/>
            <w:vAlign w:val="top"/>
          </w:tcPr>
          <w:p>
            <w:r/>
            <w:r>
              <w:rPr>
                <w:sz w:val="20"/>
                <w:u w:val="single"/>
              </w:rPr>
              <w:t>listarConsentimientos(company_id, rat.id, true) antes de guardar. Si datos_sensibles=True y no hay consentimiento activo → toast error y no guarda.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ADR-32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ALTO: Homologación orden campos RAT (5 pasos canónicos)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2026-07-05</w:t>
            </w:r>
          </w:p>
        </w:tc>
        <w:tc>
          <w:tcPr>
            <w:tcW w:type="dxa" w:w="5953"/>
            <w:vAlign w:val="top"/>
          </w:tcPr>
          <w:p>
            <w:r/>
            <w:r>
              <w:rPr>
                <w:sz w:val="20"/>
                <w:u w:val="single"/>
              </w:rPr>
              <w:t>RatDetailView, RatEditForm, RatWizard y PDF reordenados: Identificación → Datos tratados → Finalidad y ley → Almacenamiento → Compliance operativo.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ADR-33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MEDIO: PDF con títulos de sección y alertas rojas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2026-07-05</w:t>
            </w:r>
          </w:p>
        </w:tc>
        <w:tc>
          <w:tcPr>
            <w:tcW w:type="dxa" w:w="5953"/>
            <w:vAlign w:val="top"/>
          </w:tcPr>
          <w:p>
            <w:r/>
            <w:r>
              <w:rPr>
                <w:sz w:val="20"/>
                <w:u w:val="single"/>
              </w:rPr>
              <w:t>PASO 1 — IDENTIFICACIÓN, PASO 2 — DATOS TRATADOS, etc. con fondo COLOR_PRIMARIO (#1B3A6B) y texto blanco bold. Alertas rojas al final de cada ficha.</w:t>
            </w:r>
          </w:p>
        </w:tc>
      </w:tr>
    </w:tbl>
    <w:p>
      <w:pPr>
        <w:pStyle w:val="Heading1"/>
      </w:pPr>
      <w:r>
        <w:t>Apéndice C — Índice de identificadores</w:t>
      </w:r>
    </w:p>
    <w:p>
      <w:r>
        <w:rPr>
          <w:i/>
          <w:sz w:val="22"/>
        </w:rPr>
        <w:t>Identificadores únicos referenciados a lo largo del documento: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Nombre</w:t>
            </w:r>
          </w:p>
        </w:tc>
        <w:tc>
          <w:tcPr>
            <w:tcW w:type="dxa" w:w="5669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ADR-###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Decisión de Arquitectura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Decisión técnica formal que modifica la arquitectura.</w:t>
            </w:r>
          </w:p>
        </w:tc>
      </w:tr>
    </w:tbl>
    <w:p/>
    <w:p>
      <w:pPr>
        <w:jc w:val="center"/>
      </w:pPr>
      <w:r>
        <w:rPr>
          <w:i/>
          <w:color w:val="808080"/>
          <w:sz w:val="20"/>
        </w:rPr>
        <w:t>—  Fin del documento 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417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3169"/>
      <w:gridCol w:w="3402"/>
    </w:tblGrid>
    <w:tr>
      <w:tc>
        <w:tcPr>
          <w:tcW w:type="dxa" w:w="3402"/>
        </w:tcPr>
        <w:p>
          <w:pPr>
            <w:jc w:val="left"/>
          </w:pPr>
          <w:r>
            <w:rPr>
              <w:color w:val="808080"/>
              <w:sz w:val="16"/>
            </w:rPr>
            <w:t>Custodio RAT Manager · Ley 21.719</w:t>
          </w:r>
        </w:p>
      </w:tc>
      <w:tc>
        <w:tcPr>
          <w:tcW w:type="dxa" w:w="3169"/>
        </w:tcPr>
        <w:p>
          <w:pPr>
            <w:jc w:val="center"/>
          </w:pPr>
          <w:r>
            <w:rPr>
              <w:color w:val="808080"/>
              <w:sz w:val="16"/>
            </w:rPr>
            <w:t xml:space="preserve">Página </w:t>
          </w:r>
          <w:r>
            <w:rPr>
              <w:color w:val="808080"/>
              <w:sz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808080"/>
              <w:sz w:val="16"/>
            </w:rPr>
            <w:t xml:space="preserve"> de </w:t>
          </w:r>
          <w:r>
            <w:rPr>
              <w:color w:val="808080"/>
              <w:sz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  <w:tc>
        <w:tcPr>
          <w:tcW w:type="dxa" w:w="3402"/>
        </w:tcPr>
        <w:p>
          <w:pPr>
            <w:jc w:val="right"/>
          </w:pPr>
          <w:r>
            <w:rPr>
              <w:color w:val="808080"/>
              <w:sz w:val="16"/>
            </w:rPr>
            <w:t>Interno — Confidencial  ·  Arquitectura de Software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669"/>
      <w:gridCol w:w="4303"/>
    </w:tblGrid>
    <w:tr>
      <w:tc>
        <w:tcPr>
          <w:tcW w:type="dxa" w:w="5669"/>
        </w:tcPr>
        <w:p>
          <w:pPr>
            <w:jc w:val="left"/>
            <w:pBdr>
              <w:bottom w:val="single" w:sz="6" w:space="1" w:color="1F497D"/>
            </w:pBdr>
          </w:pPr>
          <w:r>
            <w:rPr>
              <w:b/>
              <w:color w:val="1F497D"/>
              <w:sz w:val="18"/>
            </w:rPr>
            <w:t xml:space="preserve">▣  CUSTODIO  </w:t>
          </w:r>
          <w:r>
            <w:rPr>
              <w:color w:val="404040"/>
              <w:sz w:val="18"/>
            </w:rPr>
            <w:t>·  Arquitectura de Software</w:t>
          </w:r>
        </w:p>
      </w:tc>
      <w:tc>
        <w:tcPr>
          <w:tcW w:type="dxa" w:w="4303"/>
        </w:tcPr>
        <w:p>
          <w:pPr>
            <w:jc w:val="right"/>
          </w:pPr>
          <w:r>
            <w:rPr>
              <w:color w:val="808080"/>
              <w:sz w:val="18"/>
            </w:rPr>
            <w:t>v1.9  ·  Junio 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0404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