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API REST</w:t>
      </w:r>
    </w:p>
    <w:p>
      <w:pPr>
        <w:spacing w:after="480"/>
        <w:jc w:val="center"/>
      </w:pPr>
      <w:r>
        <w:rPr>
          <w:i/>
          <w:color w:val="2E74B5"/>
          <w:sz w:val="28"/>
        </w:rPr>
        <w:t>Endpoints, autenticación, Authorization y esquemas de datos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API.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Endpoints completos del módulo RAT y autenticación.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_Endpoints de brechas, ARCO, consentimientos._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RBAC, 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endpoints,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Gap G1 cerrado: Sprint 2 export endpoints + enqueue-sla-alerts.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_PATCH /tkt-solicitud-derecho/{id} con hash SHA-256 auto + validación evidencia. causal_rechazo como CausalRechazoEnum (7 valores)._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RAT. base_legal_valida strict. ConsentimientoAlert en handleSave. Homologación orden campos RAT. PDF con títulos de sección._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REST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la API REST de Custodio RAT Manager. Todos los endpoints requieren Bearer JWT (cookie httpOnly). Rbac: superadmin &gt; admin_empresa &gt; usuario.</w:t>
      </w:r>
    </w:p>
    <w:p>
      <w:pPr>
        <w:pStyle w:val="Heading1"/>
      </w:pPr>
      <w:r>
        <w:t>2. Cambios en v1.10 — Endpoints relevantes</w:t>
      </w:r>
    </w:p>
    <w:p>
      <w:pPr>
        <w:pStyle w:val="Heading2"/>
      </w:pPr>
      <w:r>
        <w:t>2.1 Módulo TKT — Cambios v1.10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estado, respuesta_texto, causal_rechazo*, prioridad, responsable_id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TktTicketResponse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TKT-ARCO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*causal_rechazo: enum cerrado (CausalRechazoEnum) con 7 valores: falta_identidad, solicitud_manifiestamente_infundada, solicitud_excesiva, falta_poder_notorial, plazo_vencido, identidad_no_verificada, otro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*HTTP 400 si estado=resuelto sin adjuntos ni respuesta_texto (evidencia obligatoria)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*SHA-256 computado automáticamente de tkt_adjuntos al resolver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3. Cambios en v1.10 — IDOR multi-tenant y homologación</w:t>
      </w:r>
    </w:p>
    <w:p>
      <w:pPr>
        <w:pStyle w:val="Heading2"/>
      </w:pPr>
      <w:r>
        <w:t>3.1 Módulo RAT — IDOR multi-tenant v1.10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RatUpdate schema completo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204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 schema completo (25 campos)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list[AuditLogResponse]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*get_rat_for_user() retorna 404 (no 403) para no filtrar existencia de RATs ajenos. Superadmin accede a todos los RATs.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*base_legal_valida: enum strict (6 opciones). ConsentimientoAlert: listarConsentimientos() si datos_sensibles=True.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TKT-###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Tag TKT-ARCO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Endpoints del módulo de ticketing ARCO.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p>
      <w:pPr>
        <w:pStyle w:val="Heading1"/>
      </w:pPr>
      <w:r>
        <w:t>Endpoints nuevos/modificados v1.11 (Agosto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RBAC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Params</w:t>
            </w:r>
          </w:p>
        </w:tc>
        <w:tc>
          <w:tcPr>
            <w:tcW w:type="dxa" w:w="2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/auth/users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superadmin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UserCreate: username, email, full_name, password, rol_global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201 + UserOut (antes: 200)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/publico/csrf-token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Pública (rate 30/min)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200 + {token, header_name, expires_in_seconds}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/transparencia/{company_id}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admin_empresa, superadmin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overrides_json: dict personalizado de items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200 + PoliticaTransparenciaResponse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/tkt-solicitud-derecho/{id}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editor+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estado, respuesta_texto, metodo_verificacion_identidad*, causal_rechazo*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200 + TktTicketResponse — metodo_verificacion ahora puede ir en body del PATCH</w:t>
            </w:r>
          </w:p>
        </w:tc>
      </w:tr>
    </w:tbl>
    <w:p>
      <w:pPr>
        <w:pStyle w:val="Heading1"/>
      </w:pPr>
      <w:r>
        <w:t>Endpoints nuevos/modificados v1.12 (Septiembre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RBAC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Params</w:t>
            </w:r>
          </w:p>
        </w:tc>
        <w:tc>
          <w:tcPr>
            <w:tcW w:type="dxa" w:w="2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/publico/verificar-titular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Pública (rate 20/min)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company_id, email (query params)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200 + {tiene_tickets_abiertos: bool, cantidad: int}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/publico/ejercer-derechos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Pública (10/hora/IP)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EjercerDerechosRequest (company_id, tipo, nombre, email, rut...)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201 + {tracking_token, mensaje} — envía acuse recibo automático (QW6)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/tkt-solicitud-derecho/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editor+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TktCreate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201 + TktOut — envía acuse de recibo al titular_email si presente (ARCO-QW6)</w:t>
            </w:r>
          </w:p>
        </w:tc>
      </w:tr>
    </w:tbl>
    <w:p>
      <w:r>
        <w:rPr>
          <w:i/>
          <w:sz w:val="20"/>
        </w:rPr>
        <w:t>Nota v1.12: RNF-22 — GET /publico/verificar-titular tiene rate limit 20/min por IP para prevenir enumeración de emails. Nomenclatura APDP corregida en todo el sistema (RNF-21).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REST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API REST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