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seguridad, despliegue y operaciones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Manual técnico inicial: auth, JWT, RBAC, RAT,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Actualizado con Token blacklist, hash chain, PII masking, CSRF.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_Csv injection sanitization, IDOR protection, rate limiting._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 fixes, Fernet 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+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_CSRF middleware, Encryption at Rest Fernet,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RatDetailModal, Drawer responsive, Dashboard clickable._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FORMADMIN ARCO, SLA Alert T-2d,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BYTEA 10MB limit, Test IL min 50chars, Hash SHA-256 auto ARCO, causal_rechazo enum,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RAT. base_legal_valida strict. ConsentimientoAlert. Homologación orden campos RAT. PDF títulos de sección. Encoding UTF-8 fix._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Cambios técnicos en v1.10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Cambio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BYTEA 10MB limit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models/rat.py, models/tkt_adjunto.py, migrations/2026_06_26_013_bytea_limit_10mb.sql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LargeBinary(10_000_000) en SQLAlchemy. CHECK constraint en PostgreSQL. Aplica a rats.archivo_base_legal_datos y tkt_adjuntos.data.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 IL min 50 chars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schemas/rat.py, components/rat/RatWizard.tsx, components/rat/RatEditForm.tsx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Pydantic Field(min_length=50). Validación en RatWizard paso 3 y RatEditForm. Toast error si &lt;50 chars.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Hash SHA-256 auto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routes/tkt_solicitud_derecho.py (PATCH endpoint)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hashlib.sha256() sobre todos los tkt_adjuntos.data en orden. Asignado a evidencia_respuesta_hash al resolver.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causal_rechazo enum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schemas/tkt_solicitud_derecho.py, models/tkt_solicitud_derecho.py, components/tkt/TicketDrawer.tsx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CausalRechazoEnum: 7 valores (Art. 29 RL). Dropdown en TicketDrawer cuando estado=rechazado. Toast error si rechazado sin causal.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Toggle ARCO 44px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app/solicitud_derecho/page.tsx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w-4 h-4 → w-11 h-11. Touch target WCAG 2.1 Level AA para mobile.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APDC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Email al DPO via notificar_nueva_brecha() cuando notificado_apdc=true. DRY_RUN si SMTP no configurado.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titulares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Log.info cuando notificado_titulares=true. Preparado para automatizar por canal (email/SMS/otro).</w:t>
            </w:r>
          </w:p>
        </w:tc>
      </w:tr>
    </w:tbl>
    <w:p>
      <w:pPr>
        <w:pStyle w:val="Heading1"/>
      </w:pPr>
      <w:r>
        <w:t>2. Flujo de evidencia ARCO con hash SHA-256</w:t>
      </w:r>
    </w:p>
    <w:p>
      <w:pPr>
        <w:pStyle w:val="ListNumber"/>
        <w:spacing w:after="40"/>
      </w:pPr>
      <w:r>
        <w:rPr>
          <w:sz w:val="22"/>
        </w:rPr>
        <w:t>1. Admin crea/adhiere documentos a ticket TKT vía POST /tkt-solicitud-derecho/{id}/adjuntos</w:t>
      </w:r>
    </w:p>
    <w:p>
      <w:pPr>
        <w:pStyle w:val="ListNumber"/>
        <w:spacing w:after="40"/>
      </w:pPr>
      <w:r>
        <w:rPr>
          <w:sz w:val="22"/>
        </w:rPr>
        <w:t>2. Admin resuelve ticket: PATCH /tkt-solicitud-derecho/{id} con estado='resuelto'</w:t>
      </w:r>
    </w:p>
    <w:p>
      <w:pPr>
        <w:pStyle w:val="ListNumber"/>
        <w:spacing w:after="40"/>
      </w:pPr>
      <w:r>
        <w:rPr>
          <w:sz w:val="22"/>
        </w:rPr>
        <w:t>3. Backend detecta estado=resuelto + ticket.evidencia_respuesta_hash == null</w:t>
      </w:r>
    </w:p>
    <w:p>
      <w:pPr>
        <w:pStyle w:val="ListNumber"/>
        <w:spacing w:after="40"/>
      </w:pPr>
      <w:r>
        <w:rPr>
          <w:sz w:val="22"/>
        </w:rPr>
        <w:t>4. Backend calcula SHA-256 de todos los tkt_adjuntos.data (en orden por id)</w:t>
      </w:r>
    </w:p>
    <w:p>
      <w:pPr>
        <w:pStyle w:val="ListNumber"/>
        <w:spacing w:after="40"/>
      </w:pPr>
      <w:r>
        <w:rPr>
          <w:sz w:val="22"/>
        </w:rPr>
        <w:t>5. Backend asigna sha.hexdigest() a ticket.evidencia_respuesta_hash y guarda en BD</w:t>
      </w:r>
    </w:p>
    <w:p>
      <w:pPr>
        <w:pStyle w:val="ListNumber"/>
        <w:spacing w:after="40"/>
      </w:pPr>
      <w:r>
        <w:rPr>
          <w:sz w:val="22"/>
        </w:rPr>
        <w:t>6. Si no hay adjuntos ni respuesta_texto → HTTP 400: 'No se puede resolver sin evidencia'</w:t>
      </w:r>
    </w:p>
    <w:p>
      <w:pPr>
        <w:pStyle w:val="ListNumber"/>
        <w:spacing w:after="40"/>
      </w:pPr>
      <w:r>
        <w:rPr>
          <w:sz w:val="22"/>
        </w:rPr>
        <w:t>7. Respuesta se envía al titular con hash en metadata de auditoría</w:t>
      </w:r>
    </w:p>
    <w:p>
      <w:pPr>
        <w:pStyle w:val="Heading1"/>
      </w:pPr>
      <w:r>
        <w:t>3. Límite BYTEA 10MB</w:t>
      </w:r>
    </w:p>
    <w:p>
      <w:pPr>
        <w:pStyle w:val="ListNumber"/>
        <w:spacing w:after="40"/>
      </w:pPr>
      <w:r>
        <w:rPr>
          <w:sz w:val="22"/>
        </w:rPr>
        <w:t>1. Frontend valida tamaño antes de subir (si aplica)</w:t>
      </w:r>
    </w:p>
    <w:p>
      <w:pPr>
        <w:pStyle w:val="ListNumber"/>
        <w:spacing w:after="40"/>
      </w:pPr>
      <w:r>
        <w:rPr>
          <w:sz w:val="22"/>
        </w:rPr>
        <w:t>2. SQLAlchemy usa LargeBinary(10_000_000) → PostgreSQL tipo BYTEA sin límite explícito en tipo</w:t>
      </w:r>
    </w:p>
    <w:p>
      <w:pPr>
        <w:pStyle w:val="ListNumber"/>
        <w:spacing w:after="40"/>
      </w:pPr>
      <w:r>
        <w:rPr>
          <w:sz w:val="22"/>
        </w:rPr>
        <w:t>3. CHECK constraint added via migración SQL: octet_length(column) &lt;= 10_000_000</w:t>
      </w:r>
    </w:p>
    <w:p>
      <w:pPr>
        <w:pStyle w:val="ListNumber"/>
        <w:spacing w:after="40"/>
      </w:pPr>
      <w:r>
        <w:rPr>
          <w:sz w:val="22"/>
        </w:rPr>
        <w:t>4. Si se intenta insertar &gt;10MB → PostgreSQL raise_sql constraint violation → rollback</w:t>
      </w:r>
    </w:p>
    <w:p>
      <w:pPr>
        <w:pStyle w:val="ListNumber"/>
        <w:spacing w:after="40"/>
      </w:pPr>
      <w:r>
        <w:rPr>
          <w:sz w:val="22"/>
        </w:rPr>
        <w:t>5. Error capturado por service layer → HTTP 400 o 500 según contexto</w:t>
      </w:r>
    </w:p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p>
      <w:pPr>
        <w:pStyle w:val="Heading1"/>
      </w:pPr>
      <w:r>
        <w:t>Cambios técnicos v1.11 (Agosto 2026 — QA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POST /auth/users → 201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routes/auth.py:129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Agregado status_code=201. Antes retornaba 200 por default FastAPI.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PATCH TKT: metodo_verificacion en body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routes/tkt_solicitud_derecho.py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Condición corregida: verifica campo BD Y body del PATCH. Antes ignoraba el body.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encrypt_existing_bytea: ENCRYPTION_KEY estricta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scripts/migration/encrypt_existing_bytea.py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Eliminado fallback a settings.ENCRYPTION_KEY. Exige key explícita en entorno.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A: soft delete RAT (Art. 19)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services/rat_crud.py, routes/rats.py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delete_rat() asigna deleted_at. Filtros excluyen deleted_at IS NOT NULL. RATs aprobados no eliminables (409).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A: EIPD gate aprobación (Art. 15 bis)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services/rat_crud.py (aprobar_rat)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validar_eipd_obligatoria() bloquea APROBADO sin EIPD cuando datos_sensibles=True o transferencia_int=True.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A: datos NNA (Art. 16 §4)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models/rat.py, schemas/rat.py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Campo datos_nna boolean. Bloqueo aprobación si datos_nna=True sin EIPD.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A: mutex anon/seudo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schemas/rat.py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No se puede marcar datos_anonimizados=True y datos_seudonimizados=True simultáneamente (validator Pydantic).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B: respuesta_texto obligatoria (Art. 12)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services/ticket_service.py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Bloquea PATCH→resuelto sin respuesta_texto no vacía.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B: SLA alerts 72h brechas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services/breach_service.py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Alerta automática APDC si brecha sin notificación tras 72h (Art. 14 bis §3).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Sprint UX: política transparencia editable (Art. 14 ter)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routes/transparencia.py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PUT /transparencia/{company_id} con overrides_json. Hash SHA-256 recalculado en cada guardado.</w:t>
            </w:r>
          </w:p>
        </w:tc>
      </w:tr>
    </w:tbl>
    <w:p>
      <w:pPr>
        <w:pStyle w:val="Heading1"/>
      </w:pPr>
      <w:r>
        <w:t>Cambios técnicos v1.12 (Septiembre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Público-QW5: verificar-titular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routes/publico_arco.py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GET /publico/verificar-titular. Rate 20/min. Detecta si email ya tiene TKTs abiertos sin revelar si el email existe (solo indica estado abierto en esa empresa).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ARCO-QW6: acuse de recibo automático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routes/tkt_solicitud_derecho.py, services/email_service.py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notificar_acuse_solicitud() al crear TKT con titular_email. Fallo registra warning, no revierte.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ARCO-QW7: chips de placeholders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frontend-next/components/tkt/TicketDrawer.tsx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Chips de {{nombre_titular}}, {{empresa}}, {{fecha}}, {{numero_solicitud}}, {{dias_bloqueo}}, {{fecha_vencimiento}}.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ARCO-QW8: banner SLA en FlujoModal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frontend-next/components/arco/FlujoModal.tsx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Semáforo verde/amarillo/rojo con días hábiles consumidos y restantes respecto al SLA legal (10 días hábiles Art. 12).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Empresas-QW6: CompanyFichaPanel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frontend-next/components/companies/CompanyFichaPanel.tsx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Panel con 4 tabs lazy: Datos (edición), RATs, ARCO (tickets), Brechas.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CI/CD: pip-audit CVE scan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.github/workflows/tests.yml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CRITICAL bloquea deploy; HIGH genera advertencia. Env vars ALLOWED_ORIGINS y ENVIRONMENT hardcodeados para tests.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Nomenclatura: APDC → APDP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Global (código, tests, docs)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Toda referencia a la agencia reguladora usa 'APDP' (Agencia de Protección de Datos Personales).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