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CUST-DOC-MATRIZ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Ley 21.719 → Features → User Stories → Tests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 con 20 requisitos de la Ley 21.719.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requisitos de seguridad: token blacklist, hash chain, IDOR.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Actualizada post-auditoría con hallazgos críticos.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DT-014/DT-015/DT-016/DT-017 añadidos, todos los P0 cerrados._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(DT-OCI-01), Admin Asesor IA (DT-OCI-02), TC para fallback chain._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(TC-SEC-01), Encryption at Rest (TC-SEC-02), Service Layer (TC-ARC-01), Schemas (TC-API-01)._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TC-015 a TC-019 para RatDetailModal, PdfPreview, Sort, Dashboard, IDOR._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1: HU-072 a HU-085 trazadas a TC-020 a TC-029. Sprint 2: 4 ADRs, 4 DTs._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Trazabilidad requisitos legales</w:t>
      </w:r>
    </w:p>
    <w:p>
      <w:r>
        <w:rPr>
          <w:sz w:val="22"/>
        </w:rPr>
        <w:t>Todos los artículos de la Ley 21.719 relevantes para Custodio RAT Manager: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Artículo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 relacionada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Artículo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Requisito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Feature relacionada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 expreso (Art. 12)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US-CONS-01, US-CONS-02, CB-01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Gestión de brechas de seguridad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US-BRCH-01, DT-015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Política de transparencia pública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US-PUB-01, US-PUB-02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quater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Contratos con encargados del tratamiento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US-ENC-01 al US-ENC-04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Registro de Actividades de Tratamiento (RAT)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US-RAT-01 al US-RAT-07, DT-014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Evaluaciones de Impacto (EIPD)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US-EIPD-01, US-EIPD-02, CB-02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Datos sensibles requieren EIPD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US-EIPD-01, US-EIPD-02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17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Derechos ARCO (Acceso, Rectificación, Cancelación, Oposición)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US-ARCO-01 al US-ARCO-06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19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Medidas de seguridad técnicas y organizacionales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TF-01 al TF-12, S14 (pendiente)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Parcial</w:t>
            </w:r>
          </w:p>
        </w:tc>
      </w:tr>
    </w:tbl>
    <w:p>
      <w:pPr>
        <w:pStyle w:val="Heading1"/>
      </w:pPr>
      <w:r>
        <w:t>2. Hallazgos de auditoría → acción</w:t>
      </w:r>
    </w:p>
    <w:p>
      <w:r>
        <w:rPr>
          <w:sz w:val="22"/>
        </w:rPr>
        <w:t>_ traceability de los hallazgos de auditoría v1.3 y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Gravedad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Corrección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Gravedad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Corrección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Commit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Token blacklist JTI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get_current_user consulta blacklist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IDOR en /companies/{id}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rutas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/companies/publico sin auth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auth requerida en endpoint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CSV injection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Sanitización con prefijo '_'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Rate limiting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slowapi en /auth/login 5/min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JWT expiry 24h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Expiry 480 min + refresh rotation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RAT cross-company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check con get_empresas_usuario()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crea brechas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bloquea rol usuario en POST /brechas/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Sin /health endpoint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 implementados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consentimientos/eipd 500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get_user() → Depends(get_current_user)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6980187/43287c0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archivo sin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chain PAR→signed GET→BYTEA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57cbffc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Gestión corpus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 Asesor endpoints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</w:tbl>
    <w:p>
      <w:pPr>
        <w:pStyle w:val="Heading1"/>
      </w:pPr>
      <w:r>
        <w:t>3. Features → Tests</w:t>
      </w:r>
    </w:p>
    <w:p>
      <w:r>
        <w:rPr>
          <w:sz w:val="22"/>
        </w:rPr>
        <w:t>_Cobertura actual: ~25% (meta v1.4: 40%). Tests ejecutados: 215 pytest + ~65 E2E._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Tests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TF-01 Token blacklist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test_blacklist_*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TF-02 IDOR protection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test_idor_* + E2E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TF-03 CSV sanitization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test_csv_injection_*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TF-04 Hash chain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test_hash_chain_*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TF-05 Rate limiting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test_rate_limit_*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TF-08 RBAC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test_rbac_* + QA-RAT-03, QA-BRCH-02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TF-09 Router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test_consent_* + test_eipd_*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TF-10 /health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test_health_* + QA-SYS-01/02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TF-11 OCI Storage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QA-RAT-07, QA-RAT-08, QA-RAT-09 (fallback chain)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TF-12 Admin Asesor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QA-AS-01, QA-AS-02, QA-AS-03, QA-AS-04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S14 CSRF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C1 Encryption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4. HU → TC Sprint 1</w:t>
      </w:r>
    </w:p>
    <w:p>
      <w:r>
        <w:rPr>
          <w:sz w:val="22"/>
        </w:rPr>
        <w:t>_Trazabilidad User Stories → Casos de Test (Sprint 1: HU-072 a HU-085):_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TC-020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Trazabilidad requisito legal Art. 12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Consentimiento expreso con firma digital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TC-023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Notificaciones push de brechas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Dashboard de métricas de compliance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Reporte de ARCO automatizado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Reporte de ARCO automatizado (misma TC)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Auditoría de acceso a datos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TC-027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Logging de modificaciones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TC-028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Backup automatizado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TC-029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Restauración de emergencia</w:t>
            </w:r>
          </w:p>
        </w:tc>
      </w:tr>
    </w:tbl>
    <w:p>
      <w:pPr>
        <w:pStyle w:val="Heading1"/>
      </w:pPr>
      <w:r>
        <w:t>5. ADR → TC Sprint 2</w:t>
      </w:r>
    </w:p>
    <w:p>
      <w:r>
        <w:rPr>
          <w:sz w:val="22"/>
        </w:rPr>
        <w:t>_Trazabilidad Architecture Decision Records → Casos de Test (Sprint 2):_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ADR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Decisión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ADR-19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TC-020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Estrategia de consentimiento multi-tenant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ADR-20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Patrón Observer para notificaciones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ADR-21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Cache de reportes ARCO con TTL 24h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ADR-22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TC-028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Strategy de backup: incremental + full semanal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compliance total Ley 21.719.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Trazabilidad RF→HU→CU→TC — v1.9 (Julio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HU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CU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TC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Severidad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RF-163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HU-098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CU-078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TC-039–041, TC-043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IDOR multi-tenant en 6 endpoints RAT (404 si empresa no coincide)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CRÍTICO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RF-164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HU-099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CU-079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TC-044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base_legal_valida strict contra enum taxativo (6 opciones)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RF-165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TC-045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ConsentimientoAlert: listarConsentimientos() si datos_sensibles=True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RF-166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Homologación orden campos RAT (5 pasos canónicos)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RF-167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TC-046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PDF con títulos de sección y alertas rojas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RF-168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Encoding UTF-8 corregido en backend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RF-169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Código muerto eliminado (return duplicado, model_dump duplicado)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BAJA</w:t>
            </w:r>
          </w:p>
        </w:tc>
      </w:tr>
    </w:tbl>
    <w:p>
      <w:pPr>
        <w:pStyle w:val="Heading1"/>
      </w:pPr>
      <w:r>
        <w:t>Trazabilidad RF→HU→CU→TC — v1.12 (Septiembre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HU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CU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TC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Severidad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RF-174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TC-056–059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GET /publico/verificar-titular: detecta titular con TKTs abiertos (Art. 12)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RF-175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TC-060–061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POST TKT: acuse de recibo automático al titular con tracking token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RF-176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TicketDrawer: chips de placeholders dinámicos en respuesta ARCO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RF-177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FlujoModal: semáforo SLA con días hábiles consumidos/restantes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RF-178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HU-108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CU-087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TC-062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CompanyFichaPanel: ficha empresa con 4 tabs lazy (Art. 16)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RF-179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CI/CD pip-audit: cero vulnerabilidades CRITICAL en dependencias Python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RNF-21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TC-063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Nomenclatura APDP correcta en código, tests y docs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RNF-22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TC-059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Rate limit 20/min/IP en GET /publico/verificar-titular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MEDIO</w:t>
            </w:r>
          </w:p>
        </w:tc>
      </w:tr>
    </w:tbl>
    <w:p>
      <w:pPr>
        <w:pStyle w:val="Heading1"/>
      </w:pPr>
      <w:r>
        <w:t>Cobertura total v1.13</w:t>
      </w:r>
    </w:p>
    <w:p>
      <w:r>
        <w:t>Total RF documentados: 179 (RF-001 a RF-179) + 22 RNF (RNF-01 a RNF-22). Total HU: 108 (HU-001 a HU-108). Total CU: 87 (CU-001 a CU-087). Total TC: 63 (TC-001 a TC-063). RF con HU: 98%. RF con CU: 96%. RF con TC: 82%.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