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módulos Consentimientos (RF-095 a RF-098) y Tickets ARCO (RF-099 a RF-105).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(RF-110 a RF-113), fixes P0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 (RF-114), DT-015 (RF-115), /health endpoint (RF-116)._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_Integración OCI Object Storage (RF-117), Admin Asesor IA (RF-118), descarga con PAR/signed GET (RF-119)._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_Seguridad: CSRF (RF-120), Encryption at Rest Fernet (RF-121), Service Layer (RF-122), Schemas Pydantic (RF-123)._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existente. Cada requisito tiene un identificador único que será referenciado por las Historias de Usuario (HU-###), los Casos de Uso (CU-###) y los Casos de Prueba (TC-###).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Gestiona usuarios, RATs, brechas de su empresa. No ve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Consulta y operación limitada.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DPO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Contacto en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Formulario público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APDC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Descarga evidencia vía PDF, CSV,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(OpenAI/MiniMax).</w:t>
            </w:r>
          </w:p>
        </w:tc>
      </w:tr>
    </w:tbl>
    <w:p>
      <w:pPr>
        <w:pStyle w:val="Heading1"/>
      </w:pPr>
      <w:r>
        <w:t>3. Requisitos funcionales (RF)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Login con JWT (8h) y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Cambiar password propio (6 chars mínimo).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Admin cambia password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_Logout con revocación de token (blacklist LRU 1000 slots)._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Rate limit login 5/min por IP.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Auto-seed superadmin con SEED_ADMIN=true.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Roles: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Listar, actualizar y eliminar usuarios.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CRUD empresas con RUT chileno validado.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empresas (superadmin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Asignar usuarios a empresas (tabla user_companies).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Aislamiento multi-tenant con check_company_access (IDOR protection).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Selección de empresa activa desde Topbar/sidebar.</w:t>
            </w:r>
          </w:p>
        </w:tc>
      </w:tr>
    </w:tbl>
    <w:p>
      <w:pPr>
        <w:pStyle w:val="Heading2"/>
      </w:pPr>
      <w:r>
        <w:t>3.3 Módulo RAT (Art. 15 y 16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7 campos mínimos RAT del Art. 16.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3 campos recomendados adicionales.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Marcar RAT como 'datos_sensibles'.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EIPD (Evaluación de Impacto) por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Base legal (6 opciones).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Test de 3 pasos para interés legítimo.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documento de base legal (5 MB).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automático de completitud.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Cálculo de nivel de riesgo (bajo/medio/alto/crítico).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Transiciones de estado: borrador→completo→en_revision→aprobado.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Duplicar RAT con prefijo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Eliminar RAT con confirmación.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_Registro de auditoría en audit_log con hash chain._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revisión periódica (POST /rats/{id}/revision).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Aprobar RAT (POST /rats/{id}/aprobar).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_Descargar documento de base legal (GET /rats/{id}/archivo) con fallback OCI._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_Almacenar documentos de base legal en OCI Object Storage con fallback a BYTEA._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_Descarga de archivos con URL pre-firmada (PAR) o signed GET directo._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_CSRF protection con cookies samesite=lax y CSRFMiddleware._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_Encryption at Rest con Fernet para BYTEA (RAT + EncargadoContrato + tkt_adjuntos)._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_Service Layer: 5 servicios nuevos (EIPD, Feriado, Consentimiento, EncargadoContrato, SolicitudDerecho)._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_Schemas Pydantic response_model en 35+ endpoints._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Listar tipos de proceso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Sugerencia precompletada por tipo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rubros y RATs sugeridos.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Registro de brecha con descripción, fecha, RATs afectados, datos comprometidos.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Alerta de plazo APDC 72h.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Editar y eliminar brechas.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Filtrar brechas por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(DT-015, 6209e2d). Retorna 403.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Formulario público /solicitud_derecho para ejercer derechos ARCO.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Token temporal 5 min contra ataques automatizados.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Titular se identifica con nombre, RUT opcional, email, descripción 2000 chars.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Ticket de gestión (TktSolicitudDerecho) creado automáticamente.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Equipo responde: cambia estado y registra historial.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Adjuntar notas y archivos al ticket.</w:t>
            </w:r>
          </w:p>
        </w:tc>
      </w:tr>
    </w:tbl>
    <w:p>
      <w:pPr>
        <w:pStyle w:val="Heading2"/>
      </w:pPr>
      <w:r>
        <w:t>3.7 Módulo de Consentimientos (Art. 12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consentimiento expreso: nombre titular, email, canal, texto, fecha.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Almacenar IP de origen (ip_origen) para cada consentimiento.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Revocar consentimiento: marca como inactivo + fecha revocación.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Asociar consentimiento a RAT (N:1) y empresa (N:1).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Crear ticket ARCO manualmente asociado a empresa.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estado: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Gestionar prioridad: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origen: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Agregar notas internas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Historial de cambios de estado.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Fecha de vencimiento SLA 10 días hábiles Chile.</w:t>
            </w:r>
          </w:p>
        </w:tc>
      </w:tr>
    </w:tbl>
    <w:p>
      <w:pPr>
        <w:pStyle w:val="Heading2"/>
      </w:pPr>
      <w:r>
        <w:t>3.9 Módulo EIPD (Art. 15 bis Ley 21.719)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Gestionar Evaluaciones de Impacto en Protección de Datos (EIPD) asociadas a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Crear EIPD vinculado 1:1 a un RAT.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Actualizar EIPD con workflow (borrador → en proceso → completado).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Listar EIPDs de la empresa con filtros.</w:t>
            </w:r>
          </w:p>
        </w:tc>
      </w:tr>
    </w:tbl>
    <w:p>
      <w:pPr>
        <w:pStyle w:val="Heading2"/>
      </w:pPr>
      <w:r>
        <w:t>3.10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Sanitizar CSV contra inyección (=, +, -, @ prefix apostrophe).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RATs a PDF (GET /rats/export/pdf).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individual a PDF.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Exportar RAT en formato CNI.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Filtros y ordenamiento con paginación.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KPIs por empresa (GET /rats/dashboard/{company_id}).</w:t>
            </w:r>
          </w:p>
        </w:tc>
      </w:tr>
    </w:tbl>
    <w:p>
      <w:pPr>
        <w:pStyle w:val="Heading2"/>
      </w:pPr>
      <w:r>
        <w:t>3.11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Registrar operaciones CRUD en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Hash chain en audit_log: SHA256(prev_hash + timestamp + ...).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Auditoría global por empresa.</w:t>
            </w:r>
          </w:p>
        </w:tc>
      </w:tr>
    </w:tbl>
    <w:p>
      <w:pPr>
        <w:pStyle w:val="Heading2"/>
      </w:pPr>
      <w:r>
        <w:t>3.12 Módulo de Inteligencia Artificial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Chat IA contextual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Integración configurable: MINIMAX_API_KEY u OPENAI_API_KEY.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_Gestionar corpus del asesor IA (indexar, stats, eliminar chunks) por superadmin._</w:t>
            </w:r>
          </w:p>
        </w:tc>
      </w:tr>
    </w:tbl>
    <w:p>
      <w:pPr>
        <w:pStyle w:val="Heading2"/>
      </w:pPr>
      <w:r>
        <w:t>3.13 Módulo de Feriados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CRUD feriados nacionales chilenos (fecha, nombre, tipo).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Upload bulk CSV UTF-8 BOM.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Exportar feriados a CSV.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Cálculo de días hábiles Chile para SLA tickets ARCO.</w:t>
            </w:r>
          </w:p>
        </w:tc>
      </w:tr>
    </w:tbl>
    <w:p>
      <w:pPr>
        <w:pStyle w:val="Heading1"/>
      </w:pPr>
      <w:r>
        <w:t>4. Requisitos No Funcionales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Contraseñas hasheadas con bcrypt (passlib + bcrypt).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JWT HS256 con expiración 8h.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Cookies httpOnly y Secure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Revocación de tokens con blacklist LRU (1000 slots).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Rate limiting: login 5/min, cambio password 5/min, ARCO 3/hora, logout 10/min.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CORS estricto: regex 'https://.*\.vercel\.app'.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SECRET_KEY obligatoria en producción.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Sanitización CSV contra inyección de fórmulas.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Validación de acceso por empresa en todos los endpoints con company_id.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admin_empresa solo crea RATs en sus empresas asignadas (DT-014).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RNF-115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RBAC: rol usuario no puede crear brechas de seguridad (DT-015).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/health/db responde en menos de 500ms.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Paginación: 200 RATs por defecto, 50 por página en reportes.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Disponibilidad 99.5% en Vercel.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PDF de RAT individual en menos de 3s.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Optimización N+1 con selectinload/joinedload.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Campos mínimos RAT del Art. 16.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Alertas: consentimiento inválido biometría, EIPD obligatoria, plazos 72h, transferencias.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Exportación RAT en formato CNI para APDC.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Ejercicio de derechos ARCO (Art. 14 y 16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PII masking en logs (email, RUT, IP, tokens, passwords).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Responsive: sidebar colapsa a menú hamburguesa &lt; 768px.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Navegación completa por teclado en flujos principales.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Wizard de 4 pasos con barra de progreso para RAT.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Cobertura de tests mínima 80% en endpoints críticos.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Patrón: rutas → servicios → modelos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TypeScript strict mode en frontend.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Migración SQLite → PostgreSQL (Neon) sin pérdida.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  <w:u w:val="single"/>
              </w:rPr>
              <w:t>Patrón Repository (app/repositories/) para separar lógica de acceso a datos.</w:t>
            </w:r>
          </w:p>
        </w:tc>
      </w:tr>
    </w:tbl>
    <w:p>
      <w:pPr>
        <w:pStyle w:val="Heading1"/>
      </w:pPr>
      <w:r>
        <w:t>5. Restricciones y supuestos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Plataforma: </w:t>
      </w:r>
      <w:r>
        <w:rPr>
          <w:sz w:val="22"/>
        </w:rPr>
        <w:t>Vercel serverless: máx 60s hobby, 300s pro por request.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Archivos en OCI Object Storage con fallback a BYTEA (límite 5 MB).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Dependencia de Neon PostgreSQL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Ley 21.719 entra en vigencia general el 1-dic-2026.</w:t>
      </w:r>
    </w:p>
    <w:p>
      <w:pPr>
        <w:pStyle w:val="Heading1"/>
      </w:pPr>
      <w:r>
        <w:t>6. Trazabilidad</w:t>
      </w:r>
    </w:p>
    <w:p>
      <w:r>
        <w:rPr>
          <w:sz w:val="22"/>
        </w:rPr>
        <w:t>La matriz de trazabilidad completa (CUST-DOC-MATRIZ) vincula RF → HU → CU → TC.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Sin hash chain previo a v1.2, auditoría histórica no verificable.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seguridad.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 o sistema que interactúa con el sistema.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